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E78C" w14:textId="77777777" w:rsidR="00914A2F" w:rsidRDefault="00914A2F" w:rsidP="00722C14">
      <w:pPr>
        <w:pStyle w:val="1"/>
        <w:keepNext w:val="0"/>
        <w:keepLines w:val="0"/>
      </w:pPr>
      <w:bookmarkStart w:id="0" w:name="_Toc503130993"/>
      <w:r>
        <w:rPr>
          <w:rtl/>
        </w:rPr>
        <w:t>תזכיר חוק</w:t>
      </w:r>
      <w:bookmarkEnd w:id="0"/>
    </w:p>
    <w:p w14:paraId="65A2A8FF" w14:textId="77777777" w:rsidR="00914A2F" w:rsidRDefault="00914A2F" w:rsidP="00722C14">
      <w:pPr>
        <w:rPr>
          <w:rtl/>
        </w:rPr>
      </w:pPr>
    </w:p>
    <w:p w14:paraId="2C3A1A63" w14:textId="77777777" w:rsidR="00914A2F" w:rsidRDefault="00914A2F" w:rsidP="007F5334">
      <w:pPr>
        <w:pStyle w:val="4"/>
        <w:rPr>
          <w:rtl/>
        </w:rPr>
      </w:pPr>
      <w:r>
        <w:rPr>
          <w:rFonts w:hint="cs"/>
          <w:rtl/>
        </w:rPr>
        <w:t>שם החוק המוצע</w:t>
      </w:r>
    </w:p>
    <w:p w14:paraId="4C131EBB" w14:textId="51FBA193" w:rsidR="00914A2F" w:rsidRDefault="00914A2F" w:rsidP="00722C14">
      <w:pPr>
        <w:rPr>
          <w:sz w:val="26"/>
          <w:szCs w:val="26"/>
          <w:rtl/>
        </w:rPr>
      </w:pPr>
      <w:r w:rsidRPr="00616608">
        <w:rPr>
          <w:rFonts w:hint="cs"/>
          <w:sz w:val="26"/>
          <w:szCs w:val="26"/>
          <w:rtl/>
        </w:rPr>
        <w:t xml:space="preserve">חוק </w:t>
      </w:r>
      <w:r w:rsidR="00C535F0" w:rsidRPr="00616608">
        <w:rPr>
          <w:rFonts w:hint="cs"/>
          <w:sz w:val="26"/>
          <w:szCs w:val="26"/>
          <w:rtl/>
        </w:rPr>
        <w:t>תובענות ייצוגיות (תיקון מס' 16), התשפ"ד-2024</w:t>
      </w:r>
    </w:p>
    <w:p w14:paraId="3D725EB1" w14:textId="77777777" w:rsidR="00020FB4" w:rsidRPr="00616608" w:rsidRDefault="00020FB4" w:rsidP="00722C14">
      <w:pPr>
        <w:rPr>
          <w:sz w:val="26"/>
          <w:szCs w:val="26"/>
        </w:rPr>
      </w:pPr>
    </w:p>
    <w:p w14:paraId="4286FC4F" w14:textId="77777777" w:rsidR="00914A2F" w:rsidRDefault="00914A2F" w:rsidP="007F5334">
      <w:pPr>
        <w:pStyle w:val="4"/>
        <w:rPr>
          <w:rtl/>
        </w:rPr>
      </w:pPr>
      <w:r>
        <w:rPr>
          <w:rFonts w:hint="cs"/>
          <w:rtl/>
        </w:rPr>
        <w:t>מטרת החוק המוצע, הצורך בו, עיקרי הוראותיו והשפעתו על הדין הקיים</w:t>
      </w:r>
    </w:p>
    <w:p w14:paraId="18DFF3B5" w14:textId="25BB41D6" w:rsidR="00D60759" w:rsidRPr="00616608" w:rsidRDefault="00D60759" w:rsidP="00D60759">
      <w:pPr>
        <w:rPr>
          <w:sz w:val="26"/>
          <w:szCs w:val="26"/>
          <w:rtl/>
        </w:rPr>
      </w:pPr>
      <w:r w:rsidRPr="00616608">
        <w:rPr>
          <w:rFonts w:hint="cs"/>
          <w:sz w:val="26"/>
          <w:szCs w:val="26"/>
          <w:rtl/>
        </w:rPr>
        <w:t>חוק תובענות ייצוגיות, תשס"ו-2006 (להלן: חוק תובענות ייצוגיות או החוק), חוקק על מנת לסייע לפרטים במימוש זכויותיהם, לרבות לסוגי אוכלוסייה המתקשים לפנות לבית המשפט כיחידים, לאכוף את הדין ולהרתיע מפני הפרתו, לקדם מתן סעד הולם לנפגעי</w:t>
      </w:r>
      <w:r w:rsidR="003E3015">
        <w:rPr>
          <w:rFonts w:hint="cs"/>
          <w:sz w:val="26"/>
          <w:szCs w:val="26"/>
          <w:rtl/>
        </w:rPr>
        <w:t>ם</w:t>
      </w:r>
      <w:r w:rsidRPr="00616608">
        <w:rPr>
          <w:rFonts w:hint="cs"/>
          <w:sz w:val="26"/>
          <w:szCs w:val="26"/>
          <w:rtl/>
        </w:rPr>
        <w:t xml:space="preserve"> מהפרת הדין ולהביא לניהול יעיל וממצה של תביעות. החוק שואף ליצור איזון בין עניינם של התובעים לעניינם של הנתבעים, תוך שמירה על האינטרס הציבורי. איזון זה הינו עדין מאד ומורכב, שכן מחד גיסא, יש למצוא את הדרך לעודד את האזרח להגיש תביעה מקום שזכותו נפגעה, חרף העובדה כי סעד התביעה הוא </w:t>
      </w:r>
      <w:r w:rsidR="003E3015">
        <w:rPr>
          <w:rFonts w:hint="cs"/>
          <w:sz w:val="26"/>
          <w:szCs w:val="26"/>
          <w:rtl/>
        </w:rPr>
        <w:t>לעיתים פעוט באופן יחסי</w:t>
      </w:r>
      <w:r w:rsidRPr="00616608">
        <w:rPr>
          <w:rFonts w:hint="cs"/>
          <w:sz w:val="26"/>
          <w:szCs w:val="26"/>
          <w:rtl/>
        </w:rPr>
        <w:t xml:space="preserve"> או שקיימים מחסומים אחרים להגשת התביעה, ומאידך גיסא, מטרת החוק היא לעודד תובענות מבוססות עילה, תוך צמצום תובענות סרק המוגשות לבית המשפט, אשר אין בהן כדי לקדם את תכלית חוק תובענות ייצוגיות.</w:t>
      </w:r>
    </w:p>
    <w:p w14:paraId="5E6FEC7E" w14:textId="1BD963A5" w:rsidR="00CB43E4" w:rsidRPr="00616608" w:rsidRDefault="00D60759" w:rsidP="00D60759">
      <w:pPr>
        <w:rPr>
          <w:sz w:val="26"/>
          <w:szCs w:val="26"/>
          <w:rtl/>
        </w:rPr>
      </w:pPr>
      <w:r w:rsidRPr="00616608">
        <w:rPr>
          <w:rFonts w:hint="cs"/>
          <w:sz w:val="26"/>
          <w:szCs w:val="26"/>
          <w:rtl/>
        </w:rPr>
        <w:t xml:space="preserve">בחלוף השנים מאז חקיקת החוק </w:t>
      </w:r>
      <w:r w:rsidRPr="00616608">
        <w:rPr>
          <w:sz w:val="26"/>
          <w:szCs w:val="26"/>
          <w:rtl/>
        </w:rPr>
        <w:t>ולאחר שנצבר לאורך השנים ידע וניסיון מצד כל העוסקים בתחום,</w:t>
      </w:r>
      <w:r w:rsidRPr="00616608">
        <w:rPr>
          <w:rFonts w:hint="cs"/>
          <w:sz w:val="26"/>
          <w:szCs w:val="26"/>
          <w:rtl/>
        </w:rPr>
        <w:t xml:space="preserve"> התעורר צורך לבחון</w:t>
      </w:r>
      <w:r w:rsidRPr="00616608">
        <w:rPr>
          <w:sz w:val="26"/>
          <w:szCs w:val="26"/>
          <w:rtl/>
        </w:rPr>
        <w:t xml:space="preserve"> בצורה מקיפה את ההתפתחות של כלי התובענה הייצוגית בישראל ואת התועלות שלו למשק, יחד עם האתגרים שהוא מציב, הן בפני הצדדים והן בפני הציבור</w:t>
      </w:r>
      <w:r w:rsidR="003C7A7A">
        <w:rPr>
          <w:rFonts w:hint="cs"/>
          <w:sz w:val="26"/>
          <w:szCs w:val="26"/>
          <w:rtl/>
        </w:rPr>
        <w:t>.</w:t>
      </w:r>
      <w:r w:rsidRPr="00616608">
        <w:rPr>
          <w:sz w:val="26"/>
          <w:szCs w:val="26"/>
          <w:rtl/>
        </w:rPr>
        <w:t xml:space="preserve"> זאת</w:t>
      </w:r>
      <w:r w:rsidR="003C7A7A">
        <w:rPr>
          <w:rFonts w:hint="cs"/>
          <w:sz w:val="26"/>
          <w:szCs w:val="26"/>
          <w:rtl/>
        </w:rPr>
        <w:t>,</w:t>
      </w:r>
      <w:r w:rsidRPr="00616608">
        <w:rPr>
          <w:sz w:val="26"/>
          <w:szCs w:val="26"/>
          <w:rtl/>
        </w:rPr>
        <w:t xml:space="preserve"> לאור החשיבות הרבה הטמונה בכלי התובענה הייצוגית והרצון לעודד תובענות ייצוגיות ראויות</w:t>
      </w:r>
      <w:r w:rsidRPr="00616608">
        <w:rPr>
          <w:rFonts w:hint="cs"/>
          <w:sz w:val="26"/>
          <w:szCs w:val="26"/>
          <w:rtl/>
        </w:rPr>
        <w:t xml:space="preserve">. לשם כך, הוקם צוות בין משרדי </w:t>
      </w:r>
      <w:r w:rsidRPr="00616608">
        <w:rPr>
          <w:sz w:val="26"/>
          <w:szCs w:val="26"/>
          <w:rtl/>
        </w:rPr>
        <w:t>שעסק בגיבוש המלצות לתיקוני חקיקה בחוק תובענות ייצוגיות</w:t>
      </w:r>
      <w:r w:rsidRPr="00616608">
        <w:rPr>
          <w:rFonts w:hint="cs"/>
          <w:sz w:val="26"/>
          <w:szCs w:val="26"/>
          <w:rtl/>
        </w:rPr>
        <w:t xml:space="preserve"> והגיש את מסקנותיו בדו"ח שהופץ להערות הציבור בחודש אפריל 2023. </w:t>
      </w:r>
    </w:p>
    <w:p w14:paraId="0C950130" w14:textId="4FF19B3D" w:rsidR="00D60759" w:rsidRPr="00616608" w:rsidRDefault="00D60759" w:rsidP="00325196">
      <w:pPr>
        <w:rPr>
          <w:sz w:val="26"/>
          <w:szCs w:val="26"/>
          <w:rtl/>
        </w:rPr>
      </w:pPr>
      <w:r w:rsidRPr="00616608">
        <w:rPr>
          <w:rFonts w:hint="cs"/>
          <w:sz w:val="26"/>
          <w:szCs w:val="26"/>
          <w:rtl/>
        </w:rPr>
        <w:t>הצעת חוק זו נועדה לעגן בחקיקה את ה</w:t>
      </w:r>
      <w:r w:rsidR="00CB43E4">
        <w:rPr>
          <w:rFonts w:hint="cs"/>
          <w:sz w:val="26"/>
          <w:szCs w:val="26"/>
          <w:rtl/>
        </w:rPr>
        <w:t>מלצות הצוות הבין-משרדי</w:t>
      </w:r>
      <w:r w:rsidR="00325196">
        <w:rPr>
          <w:rFonts w:hint="cs"/>
          <w:sz w:val="26"/>
          <w:szCs w:val="26"/>
          <w:rtl/>
        </w:rPr>
        <w:t xml:space="preserve"> </w:t>
      </w:r>
      <w:r w:rsidR="00325196" w:rsidRPr="00616608">
        <w:rPr>
          <w:rFonts w:hint="cs"/>
          <w:sz w:val="26"/>
          <w:szCs w:val="26"/>
          <w:rtl/>
        </w:rPr>
        <w:t>שנועדו, בין היתר, להתמודד עם הבעיות העיקריות הטמונות בכלי התובענה הייצוגית ולקדם תובענות ייצוגיות ראויות ומבוססות</w:t>
      </w:r>
      <w:r w:rsidR="00CB43E4">
        <w:rPr>
          <w:rFonts w:hint="cs"/>
          <w:sz w:val="26"/>
          <w:szCs w:val="26"/>
          <w:rtl/>
        </w:rPr>
        <w:t xml:space="preserve">. כך, דו"ח הצוות עסק בבעיית תביעות הסרק. </w:t>
      </w:r>
      <w:r w:rsidR="00CB43E4" w:rsidRPr="004078C2">
        <w:rPr>
          <w:sz w:val="26"/>
          <w:szCs w:val="26"/>
          <w:rtl/>
        </w:rPr>
        <w:t xml:space="preserve">בעיה זו מתבטאת בהגשת תביעות חסרות בסיס עובדתי ומשפטי וזאת לאור האפשרות הקיימת במסגרת תובענה ייצוגית לרווח מהיר הנובע מעצם הגשת בקשה לאישור תובענה ייצוגית. </w:t>
      </w:r>
      <w:r w:rsidR="00CB43E4" w:rsidRPr="004078C2">
        <w:rPr>
          <w:rFonts w:hint="cs"/>
          <w:sz w:val="26"/>
          <w:szCs w:val="26"/>
          <w:rtl/>
        </w:rPr>
        <w:t xml:space="preserve">בנוסף, קיימת תופעה של הגשת תביעות משוכפלות רבות על הפרת הוראות רגולציה פשוטה לתיקון כאשר במקרים רבים לא קיימת בצידה נזק </w:t>
      </w:r>
      <w:r w:rsidR="004373D6">
        <w:rPr>
          <w:rFonts w:hint="cs"/>
          <w:sz w:val="26"/>
          <w:szCs w:val="26"/>
          <w:rtl/>
        </w:rPr>
        <w:t xml:space="preserve">משמעותי </w:t>
      </w:r>
      <w:r w:rsidR="00CB43E4" w:rsidRPr="004078C2">
        <w:rPr>
          <w:rFonts w:hint="cs"/>
          <w:sz w:val="26"/>
          <w:szCs w:val="26"/>
          <w:rtl/>
        </w:rPr>
        <w:t xml:space="preserve">לציבור. לצד זאת, קיימת תופעה של ריבוי בקשות להסתלקות בתחום. על תופעות אלו ניתן ללמוד, בין היתר מכמות התובענות הייצוגיות שאינן מסתיימות בפיצוי לציבור. רק בכ-22% מההחלטות השיפוטיות </w:t>
      </w:r>
      <w:r w:rsidR="00CB43E4" w:rsidRPr="004078C2">
        <w:rPr>
          <w:sz w:val="26"/>
          <w:szCs w:val="26"/>
          <w:rtl/>
        </w:rPr>
        <w:t xml:space="preserve">התוצאה </w:t>
      </w:r>
      <w:r w:rsidR="004373D6">
        <w:rPr>
          <w:rFonts w:hint="cs"/>
          <w:sz w:val="26"/>
          <w:szCs w:val="26"/>
          <w:rtl/>
        </w:rPr>
        <w:t>היא</w:t>
      </w:r>
      <w:r w:rsidR="00CB43E4" w:rsidRPr="004078C2">
        <w:rPr>
          <w:sz w:val="26"/>
          <w:szCs w:val="26"/>
          <w:rtl/>
        </w:rPr>
        <w:t xml:space="preserve"> קבלת התובענה או סיומה בתוצאה המיטיבה עם הקבוצה המיוצגת (בפשרה, חדילה, או קבלת התובענה). בכל יתר התיקים שהסתיימו</w:t>
      </w:r>
      <w:r w:rsidR="00CB43E4">
        <w:rPr>
          <w:rFonts w:hint="cs"/>
          <w:sz w:val="26"/>
          <w:szCs w:val="26"/>
          <w:rtl/>
        </w:rPr>
        <w:t>,</w:t>
      </w:r>
      <w:r w:rsidR="00CB43E4" w:rsidRPr="004078C2">
        <w:rPr>
          <w:sz w:val="26"/>
          <w:szCs w:val="26"/>
          <w:rtl/>
        </w:rPr>
        <w:t xml:space="preserve"> התובענה הסתיימה בהסתלקות התובע, מחיקה או דחיית הבקשה לאישור, דחיית התובענה הייצוגית וסילוק על הסף.</w:t>
      </w:r>
      <w:r w:rsidR="00CB43E4" w:rsidRPr="004078C2">
        <w:rPr>
          <w:rFonts w:hint="cs"/>
          <w:sz w:val="26"/>
          <w:szCs w:val="26"/>
          <w:rtl/>
        </w:rPr>
        <w:t xml:space="preserve"> </w:t>
      </w:r>
      <w:r w:rsidR="00CB43E4" w:rsidRPr="004078C2">
        <w:rPr>
          <w:sz w:val="26"/>
          <w:szCs w:val="26"/>
          <w:rtl/>
        </w:rPr>
        <w:t>בעיה מרכזית נוספת שעלתה בניתוח הממצאים</w:t>
      </w:r>
      <w:r w:rsidR="00CB43E4" w:rsidRPr="004078C2">
        <w:rPr>
          <w:rFonts w:hint="cs"/>
          <w:sz w:val="26"/>
          <w:szCs w:val="26"/>
          <w:rtl/>
        </w:rPr>
        <w:t xml:space="preserve"> במסגרת דו"ח הצוות הבין-משרדי</w:t>
      </w:r>
      <w:r w:rsidR="00CB43E4" w:rsidRPr="004078C2">
        <w:rPr>
          <w:sz w:val="26"/>
          <w:szCs w:val="26"/>
          <w:rtl/>
        </w:rPr>
        <w:t xml:space="preserve"> היא בעיית הנצי</w:t>
      </w:r>
      <w:r w:rsidR="00CB43E4" w:rsidRPr="004078C2">
        <w:rPr>
          <w:rFonts w:hint="cs"/>
          <w:sz w:val="26"/>
          <w:szCs w:val="26"/>
          <w:rtl/>
        </w:rPr>
        <w:t>ג אשר נובעת מכך</w:t>
      </w:r>
      <w:r w:rsidR="00CB43E4" w:rsidRPr="004078C2">
        <w:rPr>
          <w:sz w:val="26"/>
          <w:szCs w:val="26"/>
          <w:rtl/>
        </w:rPr>
        <w:t xml:space="preserve"> </w:t>
      </w:r>
      <w:r w:rsidR="00CB43E4" w:rsidRPr="004078C2">
        <w:rPr>
          <w:rFonts w:hint="cs"/>
          <w:sz w:val="26"/>
          <w:szCs w:val="26"/>
          <w:rtl/>
        </w:rPr>
        <w:t>ש</w:t>
      </w:r>
      <w:r w:rsidR="00CB43E4" w:rsidRPr="004078C2">
        <w:rPr>
          <w:sz w:val="26"/>
          <w:szCs w:val="26"/>
          <w:rtl/>
        </w:rPr>
        <w:t xml:space="preserve">כלי התובענה הייצוגית טומן בחובו, באופן אינהרנטי, בעיית ייצוג וזאת לאור המבנה של התובענה הייצוגית אשר </w:t>
      </w:r>
      <w:r w:rsidR="00CB43E4" w:rsidRPr="004078C2">
        <w:rPr>
          <w:sz w:val="26"/>
          <w:szCs w:val="26"/>
          <w:rtl/>
        </w:rPr>
        <w:lastRenderedPageBreak/>
        <w:t xml:space="preserve">מנוהלת על ידי נציגים, כאשר חברי הקבוצה אינם לוקחים חלק פעיל בניהול התובענה. </w:t>
      </w:r>
      <w:r w:rsidR="00325196" w:rsidRPr="003D5919">
        <w:rPr>
          <w:sz w:val="26"/>
          <w:szCs w:val="26"/>
          <w:rtl/>
        </w:rPr>
        <w:t>במסגרת המלצותיו, ביקש הצוות לתת מענה לקשיים אלו.</w:t>
      </w:r>
      <w:r w:rsidRPr="00616608">
        <w:rPr>
          <w:rFonts w:hint="cs"/>
          <w:sz w:val="26"/>
          <w:szCs w:val="26"/>
          <w:rtl/>
        </w:rPr>
        <w:t xml:space="preserve"> עיקרי ה</w:t>
      </w:r>
      <w:r w:rsidR="00325196">
        <w:rPr>
          <w:rFonts w:hint="cs"/>
          <w:sz w:val="26"/>
          <w:szCs w:val="26"/>
          <w:rtl/>
        </w:rPr>
        <w:t>מלצות הצוות</w:t>
      </w:r>
      <w:r w:rsidRPr="00616608">
        <w:rPr>
          <w:rFonts w:hint="cs"/>
          <w:sz w:val="26"/>
          <w:szCs w:val="26"/>
          <w:rtl/>
        </w:rPr>
        <w:t>: קביעת מנגנון לפניה מוקדמת לפני הגשת תובענה ייצוגית</w:t>
      </w:r>
      <w:r w:rsidR="006A5C21">
        <w:rPr>
          <w:rFonts w:hint="cs"/>
          <w:sz w:val="26"/>
          <w:szCs w:val="26"/>
          <w:rtl/>
        </w:rPr>
        <w:t xml:space="preserve"> במקרים המתאימים לכך</w:t>
      </w:r>
      <w:r w:rsidRPr="00616608">
        <w:rPr>
          <w:rFonts w:hint="cs"/>
          <w:sz w:val="26"/>
          <w:szCs w:val="26"/>
          <w:rtl/>
        </w:rPr>
        <w:t>, התמודדות עם הסדרי "קופונים" ותרומות מוצרים, קביעת כללים אחידים וברורים לבית המשפט בקביעת גמול ושכר טרחה בהתאם לתועלת הממשית שה</w:t>
      </w:r>
      <w:r w:rsidR="003C7A7A">
        <w:rPr>
          <w:rFonts w:hint="cs"/>
          <w:sz w:val="26"/>
          <w:szCs w:val="26"/>
          <w:rtl/>
        </w:rPr>
        <w:t>ו</w:t>
      </w:r>
      <w:r w:rsidRPr="00616608">
        <w:rPr>
          <w:rFonts w:hint="cs"/>
          <w:sz w:val="26"/>
          <w:szCs w:val="26"/>
          <w:rtl/>
        </w:rPr>
        <w:t xml:space="preserve">שגה בהליך, התמודדות עם בעיית סכומי התביעה המופרזים, פרסום הפיצוי לחברי הקבוצה, </w:t>
      </w:r>
      <w:r w:rsidR="006A5C21">
        <w:rPr>
          <w:rFonts w:hint="cs"/>
          <w:sz w:val="26"/>
          <w:szCs w:val="26"/>
          <w:rtl/>
        </w:rPr>
        <w:t>הרחבת האפשרות ל</w:t>
      </w:r>
      <w:r w:rsidRPr="00616608">
        <w:rPr>
          <w:rFonts w:hint="cs"/>
          <w:sz w:val="26"/>
          <w:szCs w:val="26"/>
          <w:rtl/>
        </w:rPr>
        <w:t xml:space="preserve">הגשת תובענות ייצוגיות בידי ארגונים, הרחבת האפשרות להגיש תובענה ייצוגית בגין פגיעה בפרטיות, מתן הגנות </w:t>
      </w:r>
      <w:r w:rsidR="006A5C21">
        <w:rPr>
          <w:rFonts w:hint="cs"/>
          <w:sz w:val="26"/>
          <w:szCs w:val="26"/>
          <w:rtl/>
        </w:rPr>
        <w:t xml:space="preserve">לרשויות מנהליות </w:t>
      </w:r>
      <w:r w:rsidRPr="00616608">
        <w:rPr>
          <w:rFonts w:hint="cs"/>
          <w:sz w:val="26"/>
          <w:szCs w:val="26"/>
          <w:rtl/>
        </w:rPr>
        <w:t>בהודעת צד שלישי ובתביע</w:t>
      </w:r>
      <w:r w:rsidR="003E3015">
        <w:rPr>
          <w:rFonts w:hint="cs"/>
          <w:sz w:val="26"/>
          <w:szCs w:val="26"/>
          <w:rtl/>
        </w:rPr>
        <w:t>ת</w:t>
      </w:r>
      <w:r w:rsidRPr="00616608">
        <w:rPr>
          <w:rFonts w:hint="cs"/>
          <w:sz w:val="26"/>
          <w:szCs w:val="26"/>
          <w:rtl/>
        </w:rPr>
        <w:t xml:space="preserve"> </w:t>
      </w:r>
      <w:r w:rsidR="00313735" w:rsidRPr="00616608">
        <w:rPr>
          <w:rFonts w:hint="cs"/>
          <w:sz w:val="26"/>
          <w:szCs w:val="26"/>
          <w:rtl/>
        </w:rPr>
        <w:t>השבה נגד רשות המיסים</w:t>
      </w:r>
      <w:r w:rsidRPr="00616608">
        <w:rPr>
          <w:rFonts w:hint="cs"/>
          <w:sz w:val="26"/>
          <w:szCs w:val="26"/>
          <w:rtl/>
        </w:rPr>
        <w:t xml:space="preserve"> ועוד. </w:t>
      </w:r>
    </w:p>
    <w:p w14:paraId="4B5B4356" w14:textId="77777777" w:rsidR="00D60759" w:rsidRPr="00DD7294" w:rsidRDefault="00D60759" w:rsidP="00D60759">
      <w:pPr>
        <w:rPr>
          <w:rtl/>
        </w:rPr>
      </w:pPr>
    </w:p>
    <w:p w14:paraId="07331D3A" w14:textId="77777777" w:rsidR="00D60759" w:rsidRPr="00DD7294" w:rsidRDefault="00D60759" w:rsidP="00D60759">
      <w:pPr>
        <w:pStyle w:val="4"/>
        <w:rPr>
          <w:rtl/>
        </w:rPr>
      </w:pPr>
      <w:bookmarkStart w:id="1" w:name="_Hlk164356393"/>
      <w:r w:rsidRPr="00DD7294">
        <w:rPr>
          <w:rFonts w:hint="cs"/>
          <w:rtl/>
        </w:rPr>
        <w:t xml:space="preserve">השפעת החוק המוצע על קבוצות אוכלוסייה מסוימות </w:t>
      </w:r>
    </w:p>
    <w:p w14:paraId="7D8A40BF" w14:textId="78CB30CF" w:rsidR="00D60759" w:rsidRPr="00DD7294" w:rsidRDefault="00D60759" w:rsidP="0006262B">
      <w:pPr>
        <w:rPr>
          <w:rtl/>
        </w:rPr>
      </w:pPr>
      <w:r w:rsidRPr="00616608">
        <w:rPr>
          <w:rFonts w:hint="cs"/>
          <w:sz w:val="26"/>
          <w:szCs w:val="26"/>
          <w:rtl/>
        </w:rPr>
        <w:t xml:space="preserve"> </w:t>
      </w:r>
      <w:bookmarkEnd w:id="1"/>
    </w:p>
    <w:p w14:paraId="3BE2C9DC" w14:textId="77777777" w:rsidR="00D60759" w:rsidRPr="00DD7294" w:rsidRDefault="00D60759" w:rsidP="00D60759">
      <w:pPr>
        <w:pStyle w:val="4"/>
        <w:rPr>
          <w:rtl/>
        </w:rPr>
      </w:pPr>
      <w:r w:rsidRPr="00DD7294">
        <w:rPr>
          <w:rFonts w:hint="cs"/>
          <w:rtl/>
        </w:rPr>
        <w:t xml:space="preserve">השפעת תזכיר החוק המוצע על התקציב ועל התקן המנהלי של המשרד היוזם, משרדים אחרים ורשויות אחרות. </w:t>
      </w:r>
    </w:p>
    <w:p w14:paraId="0666DB1C" w14:textId="0D5CC69D" w:rsidR="00D60759" w:rsidRPr="00616608" w:rsidRDefault="00D60759" w:rsidP="00D60759">
      <w:pPr>
        <w:rPr>
          <w:sz w:val="26"/>
          <w:szCs w:val="26"/>
          <w:rtl/>
        </w:rPr>
      </w:pPr>
      <w:r w:rsidRPr="00616608">
        <w:rPr>
          <w:rFonts w:hint="cs"/>
          <w:sz w:val="26"/>
          <w:szCs w:val="26"/>
          <w:rtl/>
        </w:rPr>
        <w:t>מ</w:t>
      </w:r>
      <w:r w:rsidR="003C7A7A">
        <w:rPr>
          <w:rFonts w:hint="cs"/>
          <w:sz w:val="26"/>
          <w:szCs w:val="26"/>
          <w:rtl/>
        </w:rPr>
        <w:t>נ</w:t>
      </w:r>
      <w:r w:rsidRPr="00616608">
        <w:rPr>
          <w:rFonts w:hint="cs"/>
          <w:sz w:val="26"/>
          <w:szCs w:val="26"/>
          <w:rtl/>
        </w:rPr>
        <w:t xml:space="preserve">גנון הפניה המוקדמת שהוראות ליישומו ייקבעו ע"י השר בתקנות, ידרוש הקמת מערכת דיגיטלית לעריכת פניות מוקדמות ופרסומן. מנגנון זה גם צפוי לחסוך בהתדיינויות רבות בבתי המשפט שכן תובענות ייצוגיות שכיום מתנהלות בבתי המשפט ומסתיימות בהסתלקות יוכלו להסתיים ביעילות מחוץ </w:t>
      </w:r>
      <w:proofErr w:type="spellStart"/>
      <w:r w:rsidRPr="00616608">
        <w:rPr>
          <w:rFonts w:hint="cs"/>
          <w:sz w:val="26"/>
          <w:szCs w:val="26"/>
          <w:rtl/>
        </w:rPr>
        <w:t>לכתלי</w:t>
      </w:r>
      <w:proofErr w:type="spellEnd"/>
      <w:r w:rsidRPr="00616608">
        <w:rPr>
          <w:rFonts w:hint="cs"/>
          <w:sz w:val="26"/>
          <w:szCs w:val="26"/>
          <w:rtl/>
        </w:rPr>
        <w:t xml:space="preserve"> בית המשפט. </w:t>
      </w:r>
    </w:p>
    <w:p w14:paraId="32F08103" w14:textId="438529E7" w:rsidR="00D60759" w:rsidRPr="00616608" w:rsidRDefault="00D60759" w:rsidP="00D60759">
      <w:pPr>
        <w:rPr>
          <w:sz w:val="26"/>
          <w:szCs w:val="26"/>
          <w:rtl/>
        </w:rPr>
      </w:pPr>
      <w:r w:rsidRPr="00616608">
        <w:rPr>
          <w:rFonts w:hint="cs"/>
          <w:sz w:val="26"/>
          <w:szCs w:val="26"/>
          <w:rtl/>
        </w:rPr>
        <w:t>בנוסף, הוראות בתיקון זה הנוגעות להגנות עבור רשות ציבורית צפויות לחסוך עלויות למדינה</w:t>
      </w:r>
      <w:r w:rsidR="00B27564">
        <w:rPr>
          <w:rFonts w:hint="cs"/>
          <w:sz w:val="26"/>
          <w:szCs w:val="26"/>
          <w:rtl/>
        </w:rPr>
        <w:t xml:space="preserve"> ולרשויות מנהליות נוספות</w:t>
      </w:r>
      <w:r w:rsidRPr="00616608">
        <w:rPr>
          <w:rFonts w:hint="cs"/>
          <w:sz w:val="26"/>
          <w:szCs w:val="26"/>
          <w:rtl/>
        </w:rPr>
        <w:t xml:space="preserve"> (תביעות לצד שלישי, תביעות </w:t>
      </w:r>
      <w:r w:rsidR="00313735" w:rsidRPr="00616608">
        <w:rPr>
          <w:rFonts w:hint="cs"/>
          <w:sz w:val="26"/>
          <w:szCs w:val="26"/>
          <w:rtl/>
        </w:rPr>
        <w:t xml:space="preserve">השבה נגד רשות המיסים </w:t>
      </w:r>
      <w:r w:rsidRPr="00616608">
        <w:rPr>
          <w:rFonts w:hint="cs"/>
          <w:sz w:val="26"/>
          <w:szCs w:val="26"/>
          <w:rtl/>
        </w:rPr>
        <w:t xml:space="preserve">ותקופת ההשבה בתביעות נגד רשות). </w:t>
      </w:r>
    </w:p>
    <w:p w14:paraId="07DC9F61" w14:textId="77777777" w:rsidR="00914A2F" w:rsidRPr="00C535F0" w:rsidRDefault="00914A2F" w:rsidP="00722C14">
      <w:pPr>
        <w:rPr>
          <w:highlight w:val="yellow"/>
          <w:rtl/>
        </w:rPr>
      </w:pPr>
    </w:p>
    <w:p w14:paraId="35DB06E8" w14:textId="77777777" w:rsidR="00914A2F" w:rsidRPr="003C4B52" w:rsidRDefault="00914A2F" w:rsidP="007F5334">
      <w:pPr>
        <w:pStyle w:val="4"/>
        <w:rPr>
          <w:rtl/>
        </w:rPr>
      </w:pPr>
      <w:r w:rsidRPr="003C4B52">
        <w:rPr>
          <w:rFonts w:hint="cs"/>
          <w:rtl/>
        </w:rPr>
        <w:t>להלן נוסח תזכיר החוק המוצע ודברי הסבר</w:t>
      </w:r>
    </w:p>
    <w:p w14:paraId="04822411" w14:textId="77777777" w:rsidR="00914A2F" w:rsidRDefault="00914A2F" w:rsidP="00722C14">
      <w:pPr>
        <w:bidi w:val="0"/>
        <w:rPr>
          <w:rFonts w:asciiTheme="minorHAnsi" w:hAnsiTheme="minorHAnsi"/>
        </w:rPr>
      </w:pPr>
      <w:r>
        <w:rPr>
          <w:rtl/>
        </w:rPr>
        <w:br w:type="page"/>
      </w:r>
    </w:p>
    <w:p w14:paraId="0FAE45A5" w14:textId="03B0CF2A" w:rsidR="00914A2F" w:rsidRDefault="00914A2F" w:rsidP="00722C14">
      <w:pPr>
        <w:pStyle w:val="HeadMitparsemetBaze"/>
        <w:keepNext w:val="0"/>
        <w:keepLines w:val="0"/>
        <w:pageBreakBefore w:val="0"/>
      </w:pPr>
      <w:r>
        <w:rPr>
          <w:rtl/>
        </w:rPr>
        <w:lastRenderedPageBreak/>
        <w:t>תזכיר חוק מטעם משרד</w:t>
      </w:r>
      <w:r w:rsidR="00C535F0">
        <w:rPr>
          <w:rFonts w:hint="cs"/>
          <w:rtl/>
        </w:rPr>
        <w:t xml:space="preserve"> המשפטים</w:t>
      </w:r>
      <w:r>
        <w:rPr>
          <w:rtl/>
        </w:rPr>
        <w:t xml:space="preserve">: </w:t>
      </w:r>
    </w:p>
    <w:p w14:paraId="2BB27786" w14:textId="7E1BA3FB" w:rsidR="00914A2F" w:rsidRDefault="00914A2F" w:rsidP="00722C14">
      <w:pPr>
        <w:pStyle w:val="HeadHatzaotHok"/>
        <w:keepNext w:val="0"/>
        <w:keepLines w:val="0"/>
        <w:rPr>
          <w:rtl/>
        </w:rPr>
      </w:pPr>
      <w:bookmarkStart w:id="2" w:name="_Toc503130994"/>
      <w:bookmarkStart w:id="3" w:name="_Hlk164084471"/>
      <w:r>
        <w:rPr>
          <w:rtl/>
        </w:rPr>
        <w:t>תזכיר חוק</w:t>
      </w:r>
      <w:r w:rsidR="00C535F0">
        <w:rPr>
          <w:rFonts w:hint="cs"/>
          <w:rtl/>
        </w:rPr>
        <w:t xml:space="preserve"> תובענות ייצוגיות </w:t>
      </w:r>
      <w:r>
        <w:rPr>
          <w:rtl/>
        </w:rPr>
        <w:t>(תיקון מס'</w:t>
      </w:r>
      <w:r w:rsidR="00C535F0">
        <w:rPr>
          <w:rFonts w:hint="cs"/>
          <w:rtl/>
        </w:rPr>
        <w:t xml:space="preserve"> </w:t>
      </w:r>
      <w:r w:rsidR="00C535F0" w:rsidRPr="00277C5E">
        <w:rPr>
          <w:rFonts w:hint="cs"/>
          <w:rtl/>
        </w:rPr>
        <w:t>16</w:t>
      </w:r>
      <w:r w:rsidRPr="00277C5E">
        <w:rPr>
          <w:rtl/>
        </w:rPr>
        <w:t>)</w:t>
      </w:r>
      <w:r w:rsidR="00C535F0" w:rsidRPr="00277C5E">
        <w:rPr>
          <w:rFonts w:hint="cs"/>
          <w:rtl/>
        </w:rPr>
        <w:t>(תיקונים שונים</w:t>
      </w:r>
      <w:r w:rsidRPr="00277C5E">
        <w:rPr>
          <w:rtl/>
        </w:rPr>
        <w:t>)</w:t>
      </w:r>
      <w:bookmarkEnd w:id="2"/>
      <w:r w:rsidRPr="00277C5E">
        <w:rPr>
          <w:rtl/>
        </w:rPr>
        <w:t xml:space="preserve">, </w:t>
      </w:r>
      <w:r w:rsidR="00C535F0" w:rsidRPr="00277C5E">
        <w:rPr>
          <w:rFonts w:hint="cs"/>
          <w:rtl/>
        </w:rPr>
        <w:t>התשפ</w:t>
      </w:r>
      <w:r w:rsidR="00C535F0">
        <w:rPr>
          <w:rFonts w:hint="cs"/>
          <w:rtl/>
        </w:rPr>
        <w:t>"ד-2024</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914A2F" w14:paraId="47000AFA" w14:textId="77777777" w:rsidTr="00B610E6">
        <w:trPr>
          <w:cantSplit/>
          <w:trHeight w:val="60"/>
        </w:trPr>
        <w:tc>
          <w:tcPr>
            <w:tcW w:w="1871" w:type="dxa"/>
          </w:tcPr>
          <w:p w14:paraId="78A02C70" w14:textId="77777777" w:rsidR="00914A2F" w:rsidRDefault="00914A2F">
            <w:pPr>
              <w:pStyle w:val="TableSideHeading"/>
              <w:rPr>
                <w:rtl/>
              </w:rPr>
            </w:pPr>
          </w:p>
        </w:tc>
        <w:tc>
          <w:tcPr>
            <w:tcW w:w="624" w:type="dxa"/>
          </w:tcPr>
          <w:p w14:paraId="33D5BFF2" w14:textId="77777777" w:rsidR="00914A2F" w:rsidRDefault="00914A2F">
            <w:pPr>
              <w:pStyle w:val="TableText"/>
            </w:pPr>
          </w:p>
        </w:tc>
        <w:tc>
          <w:tcPr>
            <w:tcW w:w="7146" w:type="dxa"/>
            <w:gridSpan w:val="6"/>
          </w:tcPr>
          <w:p w14:paraId="2A31791D" w14:textId="77777777" w:rsidR="00914A2F" w:rsidRDefault="00914A2F">
            <w:pPr>
              <w:pStyle w:val="TableHead"/>
            </w:pPr>
          </w:p>
        </w:tc>
      </w:tr>
      <w:tr w:rsidR="00914A2F" w14:paraId="732D3B38" w14:textId="77777777" w:rsidTr="00B610E6">
        <w:trPr>
          <w:cantSplit/>
          <w:trHeight w:val="60"/>
        </w:trPr>
        <w:tc>
          <w:tcPr>
            <w:tcW w:w="1871" w:type="dxa"/>
          </w:tcPr>
          <w:p w14:paraId="67B1F08F" w14:textId="72689080" w:rsidR="00914A2F" w:rsidRDefault="00C535F0">
            <w:pPr>
              <w:pStyle w:val="TableSideHeading"/>
            </w:pPr>
            <w:r>
              <w:rPr>
                <w:rFonts w:hint="cs"/>
                <w:rtl/>
              </w:rPr>
              <w:t>תיקון סעיף 2</w:t>
            </w:r>
          </w:p>
        </w:tc>
        <w:tc>
          <w:tcPr>
            <w:tcW w:w="624" w:type="dxa"/>
          </w:tcPr>
          <w:p w14:paraId="306692B0" w14:textId="77777777" w:rsidR="00914A2F" w:rsidRDefault="00914A2F" w:rsidP="00461E2C">
            <w:pPr>
              <w:pStyle w:val="TableText"/>
              <w:numPr>
                <w:ilvl w:val="0"/>
                <w:numId w:val="1"/>
              </w:numPr>
            </w:pPr>
          </w:p>
        </w:tc>
        <w:tc>
          <w:tcPr>
            <w:tcW w:w="7146" w:type="dxa"/>
            <w:gridSpan w:val="6"/>
          </w:tcPr>
          <w:p w14:paraId="6A1643A0" w14:textId="6FAE424A" w:rsidR="00914A2F" w:rsidRDefault="00C535F0">
            <w:pPr>
              <w:pStyle w:val="TableBlock"/>
            </w:pPr>
            <w:r>
              <w:rPr>
                <w:rFonts w:hint="cs"/>
                <w:rtl/>
              </w:rPr>
              <w:t>בחוק תובענות ייצוגיות, התשס"ו-2006</w:t>
            </w:r>
            <w:r>
              <w:rPr>
                <w:rStyle w:val="a7"/>
                <w:rtl/>
              </w:rPr>
              <w:footnoteReference w:id="1"/>
            </w:r>
            <w:r>
              <w:rPr>
                <w:rFonts w:hint="cs"/>
                <w:rtl/>
              </w:rPr>
              <w:t xml:space="preserve"> (להלן: החוק העיקרי), בסעיף 2 לחוק העיקרי </w:t>
            </w:r>
            <w:r>
              <w:rPr>
                <w:rtl/>
              </w:rPr>
              <w:t>–</w:t>
            </w:r>
            <w:r>
              <w:rPr>
                <w:rFonts w:hint="cs"/>
                <w:rtl/>
              </w:rPr>
              <w:t xml:space="preserve"> </w:t>
            </w:r>
          </w:p>
        </w:tc>
      </w:tr>
      <w:tr w:rsidR="00C535F0" w14:paraId="6898247A" w14:textId="77777777" w:rsidTr="00B610E6">
        <w:trPr>
          <w:cantSplit/>
          <w:trHeight w:val="60"/>
        </w:trPr>
        <w:tc>
          <w:tcPr>
            <w:tcW w:w="1871" w:type="dxa"/>
          </w:tcPr>
          <w:p w14:paraId="3BC3AA69" w14:textId="77777777" w:rsidR="00C535F0" w:rsidRDefault="00C535F0">
            <w:pPr>
              <w:pStyle w:val="TableSideHeading"/>
            </w:pPr>
          </w:p>
        </w:tc>
        <w:tc>
          <w:tcPr>
            <w:tcW w:w="624" w:type="dxa"/>
          </w:tcPr>
          <w:p w14:paraId="5C6D4699" w14:textId="77777777" w:rsidR="00C535F0" w:rsidRDefault="00C535F0">
            <w:pPr>
              <w:pStyle w:val="TableText"/>
            </w:pPr>
          </w:p>
        </w:tc>
        <w:tc>
          <w:tcPr>
            <w:tcW w:w="624" w:type="dxa"/>
          </w:tcPr>
          <w:p w14:paraId="673A4E38" w14:textId="77777777" w:rsidR="00C535F0" w:rsidRDefault="00C535F0">
            <w:pPr>
              <w:pStyle w:val="TableText"/>
            </w:pPr>
          </w:p>
        </w:tc>
        <w:tc>
          <w:tcPr>
            <w:tcW w:w="6522" w:type="dxa"/>
            <w:gridSpan w:val="5"/>
          </w:tcPr>
          <w:p w14:paraId="42D7B719" w14:textId="0C3E86DC" w:rsidR="00C535F0" w:rsidRDefault="00C535F0" w:rsidP="00461E2C">
            <w:pPr>
              <w:pStyle w:val="TableBlock"/>
              <w:numPr>
                <w:ilvl w:val="0"/>
                <w:numId w:val="5"/>
              </w:numPr>
              <w:tabs>
                <w:tab w:val="left" w:pos="624"/>
              </w:tabs>
            </w:pPr>
            <w:r>
              <w:rPr>
                <w:rFonts w:hint="cs"/>
                <w:rtl/>
              </w:rPr>
              <w:t>בהגדרה "ארגון", אחרי "או הקדש," יבוא "אשר רשום במרשם רשם העמותות א</w:t>
            </w:r>
            <w:r w:rsidR="001362DA">
              <w:rPr>
                <w:rFonts w:hint="cs"/>
                <w:rtl/>
              </w:rPr>
              <w:t>ו</w:t>
            </w:r>
            <w:r>
              <w:rPr>
                <w:rFonts w:hint="cs"/>
                <w:rtl/>
              </w:rPr>
              <w:t xml:space="preserve"> רשם ההקדשות," ואחרי "מטרותיהם" יבוא "ושהגשת תובענות ייצוגיות אינה פעולתו העיקרית".</w:t>
            </w:r>
          </w:p>
        </w:tc>
      </w:tr>
      <w:tr w:rsidR="00311035" w14:paraId="4E722090" w14:textId="77777777" w:rsidTr="00B610E6">
        <w:trPr>
          <w:cantSplit/>
          <w:trHeight w:val="60"/>
        </w:trPr>
        <w:tc>
          <w:tcPr>
            <w:tcW w:w="1871" w:type="dxa"/>
          </w:tcPr>
          <w:p w14:paraId="596335DD" w14:textId="01AC6E1E" w:rsidR="00311035" w:rsidRDefault="00311035">
            <w:pPr>
              <w:pStyle w:val="TableSideHeading"/>
            </w:pPr>
          </w:p>
        </w:tc>
        <w:tc>
          <w:tcPr>
            <w:tcW w:w="624" w:type="dxa"/>
          </w:tcPr>
          <w:p w14:paraId="4E1647A9" w14:textId="77777777" w:rsidR="00311035" w:rsidRDefault="00311035" w:rsidP="00311035">
            <w:pPr>
              <w:pStyle w:val="TableText"/>
            </w:pPr>
          </w:p>
        </w:tc>
        <w:tc>
          <w:tcPr>
            <w:tcW w:w="624" w:type="dxa"/>
          </w:tcPr>
          <w:p w14:paraId="47C7F935" w14:textId="77777777" w:rsidR="00311035" w:rsidRDefault="00311035">
            <w:pPr>
              <w:pStyle w:val="TableText"/>
            </w:pPr>
          </w:p>
        </w:tc>
        <w:tc>
          <w:tcPr>
            <w:tcW w:w="6522" w:type="dxa"/>
            <w:gridSpan w:val="5"/>
          </w:tcPr>
          <w:p w14:paraId="5DB045C9" w14:textId="5C8C1951" w:rsidR="00311035" w:rsidRDefault="00311035" w:rsidP="00461E2C">
            <w:pPr>
              <w:pStyle w:val="TableBlock"/>
              <w:numPr>
                <w:ilvl w:val="0"/>
                <w:numId w:val="5"/>
              </w:numPr>
              <w:tabs>
                <w:tab w:val="left" w:pos="624"/>
              </w:tabs>
              <w:rPr>
                <w:rtl/>
              </w:rPr>
            </w:pPr>
            <w:r>
              <w:rPr>
                <w:rFonts w:hint="cs"/>
                <w:rtl/>
              </w:rPr>
              <w:t>אחרי ההגדרה "בקשה לאישור" יבוא:</w:t>
            </w:r>
          </w:p>
        </w:tc>
      </w:tr>
      <w:tr w:rsidR="00311035" w14:paraId="08983493" w14:textId="77777777" w:rsidTr="00B610E6">
        <w:trPr>
          <w:cantSplit/>
          <w:trHeight w:val="60"/>
        </w:trPr>
        <w:tc>
          <w:tcPr>
            <w:tcW w:w="1871" w:type="dxa"/>
          </w:tcPr>
          <w:p w14:paraId="1C93E9B7" w14:textId="77777777" w:rsidR="00311035" w:rsidRDefault="00311035">
            <w:pPr>
              <w:pStyle w:val="TableSideHeading"/>
              <w:rPr>
                <w:rtl/>
              </w:rPr>
            </w:pPr>
          </w:p>
        </w:tc>
        <w:tc>
          <w:tcPr>
            <w:tcW w:w="624" w:type="dxa"/>
          </w:tcPr>
          <w:p w14:paraId="7179C807" w14:textId="77777777" w:rsidR="00311035" w:rsidRDefault="00311035" w:rsidP="00311035">
            <w:pPr>
              <w:pStyle w:val="TableText"/>
            </w:pPr>
          </w:p>
        </w:tc>
        <w:tc>
          <w:tcPr>
            <w:tcW w:w="624" w:type="dxa"/>
          </w:tcPr>
          <w:p w14:paraId="67FB975F" w14:textId="77777777" w:rsidR="00311035" w:rsidRDefault="00311035">
            <w:pPr>
              <w:pStyle w:val="TableText"/>
            </w:pPr>
          </w:p>
        </w:tc>
        <w:tc>
          <w:tcPr>
            <w:tcW w:w="6522" w:type="dxa"/>
            <w:gridSpan w:val="5"/>
          </w:tcPr>
          <w:p w14:paraId="39EB07D4" w14:textId="7DD06D8E" w:rsidR="00311035" w:rsidRPr="00311035" w:rsidRDefault="00311035" w:rsidP="00311035">
            <w:pPr>
              <w:pStyle w:val="TableBlockOutdent"/>
              <w:rPr>
                <w:rtl/>
              </w:rPr>
            </w:pPr>
            <w:r>
              <w:rPr>
                <w:rFonts w:hint="cs"/>
                <w:rtl/>
              </w:rPr>
              <w:t xml:space="preserve">""גישור" </w:t>
            </w:r>
            <w:r>
              <w:rPr>
                <w:rtl/>
              </w:rPr>
              <w:t>–</w:t>
            </w:r>
            <w:r>
              <w:rPr>
                <w:rFonts w:hint="cs"/>
                <w:rtl/>
              </w:rPr>
              <w:t xml:space="preserve"> </w:t>
            </w:r>
            <w:r w:rsidR="00386A08">
              <w:rPr>
                <w:rFonts w:hint="cs"/>
                <w:rtl/>
              </w:rPr>
              <w:t xml:space="preserve">כהגדרתו </w:t>
            </w:r>
            <w:r>
              <w:rPr>
                <w:rFonts w:hint="cs"/>
                <w:rtl/>
              </w:rPr>
              <w:t xml:space="preserve">בסעיף 79ג לחוק </w:t>
            </w:r>
            <w:r w:rsidRPr="00311035">
              <w:rPr>
                <w:rtl/>
              </w:rPr>
              <w:t>בתי המשפט [נוסח משולב], תשמ"ד-1984</w:t>
            </w:r>
            <w:r>
              <w:rPr>
                <w:rStyle w:val="a7"/>
                <w:rtl/>
              </w:rPr>
              <w:footnoteReference w:id="2"/>
            </w:r>
            <w:r>
              <w:rPr>
                <w:rFonts w:hint="cs"/>
                <w:rtl/>
              </w:rPr>
              <w:t>;";</w:t>
            </w:r>
          </w:p>
        </w:tc>
      </w:tr>
      <w:tr w:rsidR="00C535F0" w14:paraId="1C39A8F9" w14:textId="77777777" w:rsidTr="00B610E6">
        <w:trPr>
          <w:cantSplit/>
          <w:trHeight w:val="60"/>
        </w:trPr>
        <w:tc>
          <w:tcPr>
            <w:tcW w:w="1871" w:type="dxa"/>
          </w:tcPr>
          <w:p w14:paraId="4FB17F24" w14:textId="77777777" w:rsidR="00C535F0" w:rsidRDefault="00C535F0">
            <w:pPr>
              <w:pStyle w:val="TableSideHeading"/>
            </w:pPr>
          </w:p>
        </w:tc>
        <w:tc>
          <w:tcPr>
            <w:tcW w:w="624" w:type="dxa"/>
          </w:tcPr>
          <w:p w14:paraId="67676C2E" w14:textId="77777777" w:rsidR="00C535F0" w:rsidRDefault="00C535F0" w:rsidP="00C535F0">
            <w:pPr>
              <w:pStyle w:val="TableText"/>
            </w:pPr>
          </w:p>
        </w:tc>
        <w:tc>
          <w:tcPr>
            <w:tcW w:w="624" w:type="dxa"/>
          </w:tcPr>
          <w:p w14:paraId="05AE1454" w14:textId="77777777" w:rsidR="00C535F0" w:rsidRDefault="00C535F0">
            <w:pPr>
              <w:pStyle w:val="TableText"/>
            </w:pPr>
          </w:p>
        </w:tc>
        <w:tc>
          <w:tcPr>
            <w:tcW w:w="6522" w:type="dxa"/>
            <w:gridSpan w:val="5"/>
          </w:tcPr>
          <w:p w14:paraId="024E9869" w14:textId="338D1843" w:rsidR="00C535F0" w:rsidRDefault="00C535F0" w:rsidP="00461E2C">
            <w:pPr>
              <w:pStyle w:val="TableBlock"/>
              <w:numPr>
                <w:ilvl w:val="0"/>
                <w:numId w:val="5"/>
              </w:numPr>
              <w:tabs>
                <w:tab w:val="left" w:pos="624"/>
              </w:tabs>
              <w:rPr>
                <w:rtl/>
              </w:rPr>
            </w:pPr>
            <w:r>
              <w:rPr>
                <w:rFonts w:hint="cs"/>
                <w:rtl/>
              </w:rPr>
              <w:t>אחרי ההגדרה "הפנקס" יבוא:</w:t>
            </w:r>
          </w:p>
        </w:tc>
      </w:tr>
      <w:tr w:rsidR="00E81B4E" w14:paraId="61B05F0D" w14:textId="77777777" w:rsidTr="00B610E6">
        <w:trPr>
          <w:cantSplit/>
          <w:trHeight w:val="60"/>
        </w:trPr>
        <w:tc>
          <w:tcPr>
            <w:tcW w:w="1871" w:type="dxa"/>
          </w:tcPr>
          <w:p w14:paraId="28097CD9" w14:textId="77777777" w:rsidR="00E81B4E" w:rsidRDefault="00E81B4E">
            <w:pPr>
              <w:pStyle w:val="TableSideHeading"/>
            </w:pPr>
          </w:p>
        </w:tc>
        <w:tc>
          <w:tcPr>
            <w:tcW w:w="624" w:type="dxa"/>
          </w:tcPr>
          <w:p w14:paraId="0F07541F" w14:textId="77777777" w:rsidR="00E81B4E" w:rsidRDefault="00E81B4E">
            <w:pPr>
              <w:pStyle w:val="TableText"/>
            </w:pPr>
          </w:p>
        </w:tc>
        <w:tc>
          <w:tcPr>
            <w:tcW w:w="624" w:type="dxa"/>
          </w:tcPr>
          <w:p w14:paraId="2732E116" w14:textId="77777777" w:rsidR="00E81B4E" w:rsidRDefault="00E81B4E">
            <w:pPr>
              <w:pStyle w:val="TableText"/>
            </w:pPr>
          </w:p>
        </w:tc>
        <w:tc>
          <w:tcPr>
            <w:tcW w:w="624" w:type="dxa"/>
          </w:tcPr>
          <w:p w14:paraId="65F1C8D4" w14:textId="77777777" w:rsidR="00E81B4E" w:rsidRDefault="00E81B4E">
            <w:pPr>
              <w:pStyle w:val="TableText"/>
            </w:pPr>
          </w:p>
        </w:tc>
        <w:tc>
          <w:tcPr>
            <w:tcW w:w="5898" w:type="dxa"/>
            <w:gridSpan w:val="4"/>
          </w:tcPr>
          <w:p w14:paraId="07B263EE" w14:textId="4BD9B582" w:rsidR="00E81B4E" w:rsidRPr="00E81B4E" w:rsidRDefault="00E81B4E" w:rsidP="00BA6690">
            <w:pPr>
              <w:pStyle w:val="TableBlockOutdent"/>
            </w:pPr>
            <w:r>
              <w:rPr>
                <w:rtl/>
              </w:rPr>
              <w:t>""</w:t>
            </w:r>
            <w:r w:rsidR="00B610E6">
              <w:rPr>
                <w:rFonts w:hint="cs"/>
                <w:rtl/>
              </w:rPr>
              <w:t xml:space="preserve">חוזה ארוך טווח" </w:t>
            </w:r>
            <w:r w:rsidR="00B610E6">
              <w:rPr>
                <w:rtl/>
              </w:rPr>
              <w:t>–</w:t>
            </w:r>
            <w:r w:rsidR="00B610E6">
              <w:rPr>
                <w:rFonts w:hint="cs"/>
                <w:rtl/>
              </w:rPr>
              <w:t xml:space="preserve"> חוזה </w:t>
            </w:r>
            <w:r w:rsidR="00BA6690">
              <w:rPr>
                <w:rFonts w:hint="cs"/>
                <w:rtl/>
              </w:rPr>
              <w:t xml:space="preserve">לתקופה שאינה מוגבלת </w:t>
            </w:r>
            <w:r w:rsidR="00B610E6">
              <w:rPr>
                <w:rFonts w:hint="cs"/>
                <w:rtl/>
              </w:rPr>
              <w:t xml:space="preserve">או חוזה לתקופה העולה על עשרים שנה ואשר נכרת עד </w:t>
            </w:r>
            <w:r w:rsidR="00B610E6" w:rsidRPr="000F26C4">
              <w:rPr>
                <w:rFonts w:hint="cs"/>
                <w:rtl/>
              </w:rPr>
              <w:t>ליום</w:t>
            </w:r>
            <w:r w:rsidR="00BA6690">
              <w:rPr>
                <w:rFonts w:hint="cs"/>
                <w:rtl/>
              </w:rPr>
              <w:t xml:space="preserve"> י' בטבת </w:t>
            </w:r>
            <w:proofErr w:type="spellStart"/>
            <w:r w:rsidR="000F26C4">
              <w:rPr>
                <w:rFonts w:hint="cs"/>
                <w:rtl/>
              </w:rPr>
              <w:t>התשע"ה</w:t>
            </w:r>
            <w:proofErr w:type="spellEnd"/>
            <w:r w:rsidR="000F26C4">
              <w:rPr>
                <w:rFonts w:hint="cs"/>
                <w:rtl/>
              </w:rPr>
              <w:t xml:space="preserve"> </w:t>
            </w:r>
            <w:r w:rsidR="00BA6690">
              <w:rPr>
                <w:rFonts w:hint="cs"/>
                <w:rtl/>
              </w:rPr>
              <w:t>(1 בינואר 2015</w:t>
            </w:r>
            <w:r w:rsidR="005F477E">
              <w:rPr>
                <w:rFonts w:hint="cs"/>
                <w:rtl/>
              </w:rPr>
              <w:t>)</w:t>
            </w:r>
            <w:r w:rsidR="00BA6690">
              <w:rPr>
                <w:rFonts w:hint="cs"/>
                <w:rtl/>
              </w:rPr>
              <w:t>;";</w:t>
            </w:r>
            <w:r w:rsidR="000F26C4">
              <w:rPr>
                <w:rFonts w:hint="cs"/>
                <w:rtl/>
              </w:rPr>
              <w:t xml:space="preserve"> </w:t>
            </w:r>
          </w:p>
        </w:tc>
      </w:tr>
      <w:tr w:rsidR="0001479B" w14:paraId="05ADD5CC" w14:textId="77777777" w:rsidTr="00B610E6">
        <w:trPr>
          <w:cantSplit/>
          <w:trHeight w:val="60"/>
        </w:trPr>
        <w:tc>
          <w:tcPr>
            <w:tcW w:w="1871" w:type="dxa"/>
          </w:tcPr>
          <w:p w14:paraId="2DD4403C" w14:textId="77777777" w:rsidR="0001479B" w:rsidRPr="000F26C4" w:rsidRDefault="0001479B">
            <w:pPr>
              <w:pStyle w:val="TableSideHeading"/>
            </w:pPr>
          </w:p>
        </w:tc>
        <w:tc>
          <w:tcPr>
            <w:tcW w:w="624" w:type="dxa"/>
          </w:tcPr>
          <w:p w14:paraId="42B10C79" w14:textId="77777777" w:rsidR="0001479B" w:rsidRDefault="0001479B">
            <w:pPr>
              <w:pStyle w:val="TableText"/>
            </w:pPr>
          </w:p>
        </w:tc>
        <w:tc>
          <w:tcPr>
            <w:tcW w:w="624" w:type="dxa"/>
          </w:tcPr>
          <w:p w14:paraId="1D384D29" w14:textId="77777777" w:rsidR="0001479B" w:rsidRDefault="0001479B">
            <w:pPr>
              <w:pStyle w:val="TableText"/>
            </w:pPr>
          </w:p>
        </w:tc>
        <w:tc>
          <w:tcPr>
            <w:tcW w:w="624" w:type="dxa"/>
          </w:tcPr>
          <w:p w14:paraId="13F4D126" w14:textId="0EF2A46F" w:rsidR="0001479B" w:rsidRDefault="0001479B" w:rsidP="0001479B">
            <w:pPr>
              <w:pStyle w:val="TableText"/>
              <w:numPr>
                <w:ilvl w:val="0"/>
                <w:numId w:val="5"/>
              </w:numPr>
            </w:pPr>
          </w:p>
        </w:tc>
        <w:tc>
          <w:tcPr>
            <w:tcW w:w="5898" w:type="dxa"/>
            <w:gridSpan w:val="4"/>
          </w:tcPr>
          <w:p w14:paraId="32085B93" w14:textId="63CE8E34" w:rsidR="0001479B" w:rsidRPr="0001479B" w:rsidRDefault="0001479B" w:rsidP="0001479B">
            <w:pPr>
              <w:pStyle w:val="TableBlock"/>
              <w:rPr>
                <w:rtl/>
              </w:rPr>
            </w:pPr>
            <w:r>
              <w:rPr>
                <w:rFonts w:hint="cs"/>
                <w:rtl/>
              </w:rPr>
              <w:t xml:space="preserve">"חוק הגנת הפרטיות" - </w:t>
            </w:r>
            <w:r w:rsidRPr="002A6DA4">
              <w:rPr>
                <w:rtl/>
              </w:rPr>
              <w:t>חוק הגנת הפרטיות, תשמ"א-1981</w:t>
            </w:r>
            <w:r w:rsidR="0078657C">
              <w:rPr>
                <w:rStyle w:val="a7"/>
                <w:rtl/>
              </w:rPr>
              <w:footnoteReference w:id="3"/>
            </w:r>
          </w:p>
        </w:tc>
      </w:tr>
      <w:tr w:rsidR="00F0553B" w14:paraId="00697EA1" w14:textId="77777777" w:rsidTr="00B610E6">
        <w:trPr>
          <w:cantSplit/>
          <w:trHeight w:val="60"/>
        </w:trPr>
        <w:tc>
          <w:tcPr>
            <w:tcW w:w="1871" w:type="dxa"/>
          </w:tcPr>
          <w:p w14:paraId="5FDD3F84" w14:textId="77777777" w:rsidR="00F0553B" w:rsidRDefault="00F0553B">
            <w:pPr>
              <w:pStyle w:val="TableSideHeading"/>
            </w:pPr>
          </w:p>
        </w:tc>
        <w:tc>
          <w:tcPr>
            <w:tcW w:w="624" w:type="dxa"/>
          </w:tcPr>
          <w:p w14:paraId="45DA8D2F" w14:textId="77777777" w:rsidR="00F0553B" w:rsidRDefault="00F0553B">
            <w:pPr>
              <w:pStyle w:val="TableText"/>
            </w:pPr>
          </w:p>
        </w:tc>
        <w:tc>
          <w:tcPr>
            <w:tcW w:w="624" w:type="dxa"/>
          </w:tcPr>
          <w:p w14:paraId="6C6722EE" w14:textId="77777777" w:rsidR="00F0553B" w:rsidRDefault="00F0553B">
            <w:pPr>
              <w:pStyle w:val="TableText"/>
            </w:pPr>
          </w:p>
        </w:tc>
        <w:tc>
          <w:tcPr>
            <w:tcW w:w="624" w:type="dxa"/>
          </w:tcPr>
          <w:p w14:paraId="4BB40304" w14:textId="351DDBEE" w:rsidR="00F0553B" w:rsidRDefault="00F0553B" w:rsidP="00461E2C">
            <w:pPr>
              <w:pStyle w:val="TableText"/>
              <w:numPr>
                <w:ilvl w:val="0"/>
                <w:numId w:val="5"/>
              </w:numPr>
            </w:pPr>
          </w:p>
        </w:tc>
        <w:tc>
          <w:tcPr>
            <w:tcW w:w="5898" w:type="dxa"/>
            <w:gridSpan w:val="4"/>
          </w:tcPr>
          <w:p w14:paraId="53E48259" w14:textId="196DC5C4" w:rsidR="00F0553B" w:rsidRPr="00F0553B" w:rsidRDefault="008849AE" w:rsidP="00F0553B">
            <w:pPr>
              <w:pStyle w:val="TableBlock"/>
              <w:rPr>
                <w:rtl/>
              </w:rPr>
            </w:pPr>
            <w:r>
              <w:rPr>
                <w:rFonts w:hint="cs"/>
                <w:rtl/>
              </w:rPr>
              <w:t>אחרי ההגדרה "מבקש" יבוא:</w:t>
            </w:r>
          </w:p>
        </w:tc>
      </w:tr>
      <w:tr w:rsidR="008849AE" w14:paraId="766A971B" w14:textId="77777777">
        <w:trPr>
          <w:cantSplit/>
          <w:trHeight w:val="60"/>
        </w:trPr>
        <w:tc>
          <w:tcPr>
            <w:tcW w:w="1871" w:type="dxa"/>
          </w:tcPr>
          <w:p w14:paraId="23489D50" w14:textId="77777777" w:rsidR="008849AE" w:rsidRDefault="008849AE">
            <w:pPr>
              <w:pStyle w:val="TableSideHeading"/>
            </w:pPr>
          </w:p>
        </w:tc>
        <w:tc>
          <w:tcPr>
            <w:tcW w:w="624" w:type="dxa"/>
          </w:tcPr>
          <w:p w14:paraId="33C7C6E0" w14:textId="77777777" w:rsidR="008849AE" w:rsidRDefault="008849AE">
            <w:pPr>
              <w:pStyle w:val="TableText"/>
            </w:pPr>
          </w:p>
        </w:tc>
        <w:tc>
          <w:tcPr>
            <w:tcW w:w="624" w:type="dxa"/>
          </w:tcPr>
          <w:p w14:paraId="12255DCA" w14:textId="77777777" w:rsidR="008849AE" w:rsidRDefault="008849AE">
            <w:pPr>
              <w:pStyle w:val="TableText"/>
            </w:pPr>
          </w:p>
        </w:tc>
        <w:tc>
          <w:tcPr>
            <w:tcW w:w="624" w:type="dxa"/>
          </w:tcPr>
          <w:p w14:paraId="3E8BBCC4" w14:textId="77777777" w:rsidR="008849AE" w:rsidRDefault="008849AE">
            <w:pPr>
              <w:pStyle w:val="TableText"/>
            </w:pPr>
          </w:p>
        </w:tc>
        <w:tc>
          <w:tcPr>
            <w:tcW w:w="624" w:type="dxa"/>
          </w:tcPr>
          <w:p w14:paraId="11D56F64" w14:textId="77777777" w:rsidR="008849AE" w:rsidRDefault="008849AE">
            <w:pPr>
              <w:pStyle w:val="TableText"/>
            </w:pPr>
          </w:p>
        </w:tc>
        <w:tc>
          <w:tcPr>
            <w:tcW w:w="5274" w:type="dxa"/>
            <w:gridSpan w:val="3"/>
          </w:tcPr>
          <w:p w14:paraId="441F0E0B" w14:textId="10CDCE56" w:rsidR="008849AE" w:rsidRPr="008849AE" w:rsidRDefault="008849AE" w:rsidP="00311035">
            <w:pPr>
              <w:pStyle w:val="TableBlockOutdent"/>
            </w:pPr>
            <w:r>
              <w:rPr>
                <w:rtl/>
              </w:rPr>
              <w:t>"</w:t>
            </w:r>
            <w:r w:rsidR="00311035">
              <w:rPr>
                <w:rFonts w:hint="cs"/>
                <w:rtl/>
              </w:rPr>
              <w:t>"מגשר"</w:t>
            </w:r>
            <w:r w:rsidR="003610C5">
              <w:rPr>
                <w:rFonts w:hint="cs"/>
                <w:rtl/>
              </w:rPr>
              <w:t xml:space="preserve"> </w:t>
            </w:r>
            <w:r w:rsidR="003610C5">
              <w:rPr>
                <w:rtl/>
              </w:rPr>
              <w:t>–</w:t>
            </w:r>
            <w:r w:rsidR="003610C5">
              <w:rPr>
                <w:rFonts w:hint="cs"/>
                <w:rtl/>
              </w:rPr>
              <w:t xml:space="preserve"> </w:t>
            </w:r>
            <w:r w:rsidR="003610C5" w:rsidRPr="003610C5">
              <w:rPr>
                <w:rtl/>
              </w:rPr>
              <w:t>מי שתפקידו לסייע בידי בעלי הדין להגיע להסדר גישור מתוך ניהול משא ומתן חופשי, בלי שיש בידו סמכות להכריע בו</w:t>
            </w:r>
            <w:r w:rsidR="00311035">
              <w:rPr>
                <w:rFonts w:hint="cs"/>
                <w:rtl/>
              </w:rPr>
              <w:t>;</w:t>
            </w:r>
          </w:p>
        </w:tc>
      </w:tr>
      <w:tr w:rsidR="00311035" w14:paraId="6302EA86" w14:textId="77777777">
        <w:trPr>
          <w:cantSplit/>
          <w:trHeight w:val="60"/>
        </w:trPr>
        <w:tc>
          <w:tcPr>
            <w:tcW w:w="1871" w:type="dxa"/>
          </w:tcPr>
          <w:p w14:paraId="5031D874" w14:textId="31A0DD2C" w:rsidR="00311035" w:rsidRDefault="00311035">
            <w:pPr>
              <w:pStyle w:val="TableSideHeading"/>
            </w:pPr>
          </w:p>
        </w:tc>
        <w:tc>
          <w:tcPr>
            <w:tcW w:w="624" w:type="dxa"/>
          </w:tcPr>
          <w:p w14:paraId="2349C97C" w14:textId="77777777" w:rsidR="00311035" w:rsidRDefault="00311035">
            <w:pPr>
              <w:pStyle w:val="TableText"/>
            </w:pPr>
          </w:p>
        </w:tc>
        <w:tc>
          <w:tcPr>
            <w:tcW w:w="624" w:type="dxa"/>
          </w:tcPr>
          <w:p w14:paraId="60C370BD" w14:textId="77777777" w:rsidR="00311035" w:rsidRDefault="00311035">
            <w:pPr>
              <w:pStyle w:val="TableText"/>
            </w:pPr>
          </w:p>
        </w:tc>
        <w:tc>
          <w:tcPr>
            <w:tcW w:w="624" w:type="dxa"/>
          </w:tcPr>
          <w:p w14:paraId="44C8E292" w14:textId="77777777" w:rsidR="00311035" w:rsidRDefault="00311035">
            <w:pPr>
              <w:pStyle w:val="TableText"/>
            </w:pPr>
          </w:p>
        </w:tc>
        <w:tc>
          <w:tcPr>
            <w:tcW w:w="624" w:type="dxa"/>
          </w:tcPr>
          <w:p w14:paraId="69A8C1B2" w14:textId="77777777" w:rsidR="00311035" w:rsidRDefault="00311035">
            <w:pPr>
              <w:pStyle w:val="TableText"/>
            </w:pPr>
          </w:p>
        </w:tc>
        <w:tc>
          <w:tcPr>
            <w:tcW w:w="5274" w:type="dxa"/>
            <w:gridSpan w:val="3"/>
          </w:tcPr>
          <w:p w14:paraId="0A1BAE85" w14:textId="0C1B24B8" w:rsidR="00311035" w:rsidRPr="00311035" w:rsidRDefault="00311035" w:rsidP="00311035">
            <w:pPr>
              <w:pStyle w:val="TableBlock"/>
              <w:rPr>
                <w:rtl/>
              </w:rPr>
            </w:pPr>
            <w:r>
              <w:rPr>
                <w:rtl/>
              </w:rPr>
              <w:t>"</w:t>
            </w:r>
            <w:r>
              <w:rPr>
                <w:rFonts w:hint="cs"/>
                <w:rtl/>
              </w:rPr>
              <w:t xml:space="preserve">מס, אגרה או תשלום חובה אחר" </w:t>
            </w:r>
            <w:r>
              <w:rPr>
                <w:rtl/>
              </w:rPr>
              <w:t>–</w:t>
            </w:r>
            <w:r>
              <w:rPr>
                <w:rFonts w:hint="cs"/>
                <w:rtl/>
              </w:rPr>
              <w:t xml:space="preserve"> </w:t>
            </w:r>
            <w:r w:rsidRPr="008849AE">
              <w:rPr>
                <w:rtl/>
              </w:rPr>
              <w:t>כמשמעותם בסעיף 1(א) לחוק יסוד: משק המדינה</w:t>
            </w:r>
            <w:r>
              <w:rPr>
                <w:rStyle w:val="a7"/>
                <w:rtl/>
              </w:rPr>
              <w:footnoteReference w:id="4"/>
            </w:r>
            <w:r w:rsidRPr="008849AE">
              <w:rPr>
                <w:rFonts w:hint="cs"/>
                <w:rtl/>
              </w:rPr>
              <w:t>;";</w:t>
            </w:r>
          </w:p>
        </w:tc>
      </w:tr>
      <w:tr w:rsidR="00E81B4E" w14:paraId="2DC24B43" w14:textId="77777777" w:rsidTr="00B610E6">
        <w:trPr>
          <w:cantSplit/>
          <w:trHeight w:val="60"/>
        </w:trPr>
        <w:tc>
          <w:tcPr>
            <w:tcW w:w="1871" w:type="dxa"/>
          </w:tcPr>
          <w:p w14:paraId="414AB9B3" w14:textId="6D232427" w:rsidR="00E81B4E" w:rsidRDefault="00E81B4E">
            <w:pPr>
              <w:pStyle w:val="TableSideHeading"/>
            </w:pPr>
          </w:p>
        </w:tc>
        <w:tc>
          <w:tcPr>
            <w:tcW w:w="624" w:type="dxa"/>
          </w:tcPr>
          <w:p w14:paraId="6AC2F007" w14:textId="77777777" w:rsidR="00E81B4E" w:rsidRDefault="00E81B4E" w:rsidP="00E81B4E">
            <w:pPr>
              <w:pStyle w:val="TableText"/>
            </w:pPr>
          </w:p>
        </w:tc>
        <w:tc>
          <w:tcPr>
            <w:tcW w:w="624" w:type="dxa"/>
          </w:tcPr>
          <w:p w14:paraId="537F1AE0" w14:textId="77777777" w:rsidR="00E81B4E" w:rsidRDefault="00E81B4E">
            <w:pPr>
              <w:pStyle w:val="TableText"/>
            </w:pPr>
          </w:p>
        </w:tc>
        <w:tc>
          <w:tcPr>
            <w:tcW w:w="6522" w:type="dxa"/>
            <w:gridSpan w:val="5"/>
          </w:tcPr>
          <w:p w14:paraId="4E36F783" w14:textId="1BEA8E6E" w:rsidR="00E81B4E" w:rsidRPr="00E81B4E" w:rsidRDefault="00B610E6" w:rsidP="00461E2C">
            <w:pPr>
              <w:pStyle w:val="TableBlock"/>
              <w:numPr>
                <w:ilvl w:val="0"/>
                <w:numId w:val="5"/>
              </w:numPr>
              <w:tabs>
                <w:tab w:val="left" w:pos="624"/>
              </w:tabs>
              <w:rPr>
                <w:rtl/>
              </w:rPr>
            </w:pPr>
            <w:r>
              <w:rPr>
                <w:rFonts w:hint="cs"/>
                <w:rtl/>
              </w:rPr>
              <w:t>אחרי ההגדרה "נתבע" יבוא:</w:t>
            </w:r>
          </w:p>
        </w:tc>
      </w:tr>
      <w:tr w:rsidR="00B610E6" w:rsidRPr="00406DAD" w14:paraId="306331E5" w14:textId="77777777" w:rsidTr="00B610E6">
        <w:trPr>
          <w:cantSplit/>
          <w:trHeight w:val="60"/>
        </w:trPr>
        <w:tc>
          <w:tcPr>
            <w:tcW w:w="1871" w:type="dxa"/>
          </w:tcPr>
          <w:p w14:paraId="1066CA16" w14:textId="38A2EB04" w:rsidR="00B610E6" w:rsidRDefault="00B610E6">
            <w:pPr>
              <w:pStyle w:val="TableSideHeading"/>
            </w:pPr>
          </w:p>
        </w:tc>
        <w:tc>
          <w:tcPr>
            <w:tcW w:w="624" w:type="dxa"/>
          </w:tcPr>
          <w:p w14:paraId="52636357" w14:textId="77777777" w:rsidR="00B610E6" w:rsidRDefault="00B610E6">
            <w:pPr>
              <w:pStyle w:val="TableText"/>
            </w:pPr>
          </w:p>
        </w:tc>
        <w:tc>
          <w:tcPr>
            <w:tcW w:w="624" w:type="dxa"/>
          </w:tcPr>
          <w:p w14:paraId="49E6E708" w14:textId="77777777" w:rsidR="00B610E6" w:rsidRDefault="00B610E6">
            <w:pPr>
              <w:pStyle w:val="TableText"/>
            </w:pPr>
          </w:p>
        </w:tc>
        <w:tc>
          <w:tcPr>
            <w:tcW w:w="624" w:type="dxa"/>
          </w:tcPr>
          <w:p w14:paraId="3A3A035C" w14:textId="77777777" w:rsidR="00B610E6" w:rsidRDefault="00B610E6">
            <w:pPr>
              <w:pStyle w:val="TableText"/>
            </w:pPr>
          </w:p>
        </w:tc>
        <w:tc>
          <w:tcPr>
            <w:tcW w:w="5898" w:type="dxa"/>
            <w:gridSpan w:val="4"/>
          </w:tcPr>
          <w:p w14:paraId="5E9FB803" w14:textId="05CEFD4B" w:rsidR="00B610E6" w:rsidRPr="00406DAD" w:rsidRDefault="00B610E6" w:rsidP="00072832">
            <w:pPr>
              <w:pStyle w:val="TableBlockOutdent"/>
            </w:pPr>
            <w:r w:rsidRPr="00406DAD">
              <w:rPr>
                <w:rtl/>
              </w:rPr>
              <w:t>""</w:t>
            </w:r>
            <w:r w:rsidR="005B1F44" w:rsidRPr="00406DAD">
              <w:rPr>
                <w:rFonts w:hint="cs"/>
                <w:rtl/>
              </w:rPr>
              <w:t>פניה מוקדמת</w:t>
            </w:r>
            <w:r w:rsidRPr="00406DAD">
              <w:rPr>
                <w:rFonts w:hint="cs"/>
                <w:rtl/>
              </w:rPr>
              <w:t xml:space="preserve">" </w:t>
            </w:r>
            <w:r w:rsidRPr="00406DAD">
              <w:rPr>
                <w:rtl/>
              </w:rPr>
              <w:t>–</w:t>
            </w:r>
            <w:r w:rsidR="00340E90" w:rsidRPr="00406DAD">
              <w:rPr>
                <w:rFonts w:hint="cs"/>
                <w:rtl/>
              </w:rPr>
              <w:t xml:space="preserve">פניה </w:t>
            </w:r>
            <w:r w:rsidR="005B1F44" w:rsidRPr="00406DAD">
              <w:rPr>
                <w:rFonts w:hint="cs"/>
                <w:rtl/>
              </w:rPr>
              <w:t xml:space="preserve">שערך פונה </w:t>
            </w:r>
            <w:r w:rsidR="00340E90" w:rsidRPr="00406DAD">
              <w:rPr>
                <w:rFonts w:hint="cs"/>
                <w:rtl/>
              </w:rPr>
              <w:t>אל הנתבע לפי סעיף 3א ו-</w:t>
            </w:r>
            <w:r w:rsidR="00B6751D" w:rsidRPr="00406DAD">
              <w:rPr>
                <w:rFonts w:hint="cs"/>
                <w:rtl/>
              </w:rPr>
              <w:t xml:space="preserve">3ב </w:t>
            </w:r>
            <w:r w:rsidRPr="00406DAD">
              <w:rPr>
                <w:rFonts w:hint="cs"/>
                <w:rtl/>
              </w:rPr>
              <w:t>בטרם הגשת בקשה לאישור תובענה ייצוגית לפי סעיף 5;</w:t>
            </w:r>
          </w:p>
        </w:tc>
      </w:tr>
      <w:tr w:rsidR="009117CC" w:rsidRPr="00406DAD" w14:paraId="35212547" w14:textId="77777777" w:rsidTr="00B610E6">
        <w:trPr>
          <w:cantSplit/>
          <w:trHeight w:val="60"/>
        </w:trPr>
        <w:tc>
          <w:tcPr>
            <w:tcW w:w="1871" w:type="dxa"/>
          </w:tcPr>
          <w:p w14:paraId="6F007CBC" w14:textId="77777777" w:rsidR="009117CC" w:rsidRDefault="009117CC">
            <w:pPr>
              <w:pStyle w:val="TableSideHeading"/>
            </w:pPr>
          </w:p>
        </w:tc>
        <w:tc>
          <w:tcPr>
            <w:tcW w:w="624" w:type="dxa"/>
          </w:tcPr>
          <w:p w14:paraId="00BE3A3A" w14:textId="77777777" w:rsidR="009117CC" w:rsidRDefault="009117CC">
            <w:pPr>
              <w:pStyle w:val="TableText"/>
            </w:pPr>
          </w:p>
        </w:tc>
        <w:tc>
          <w:tcPr>
            <w:tcW w:w="624" w:type="dxa"/>
          </w:tcPr>
          <w:p w14:paraId="1CCC755A" w14:textId="77777777" w:rsidR="009117CC" w:rsidRDefault="009117CC">
            <w:pPr>
              <w:pStyle w:val="TableText"/>
            </w:pPr>
          </w:p>
        </w:tc>
        <w:tc>
          <w:tcPr>
            <w:tcW w:w="624" w:type="dxa"/>
          </w:tcPr>
          <w:p w14:paraId="6ABEAC99" w14:textId="77777777" w:rsidR="009117CC" w:rsidRDefault="009117CC">
            <w:pPr>
              <w:pStyle w:val="TableText"/>
            </w:pPr>
          </w:p>
        </w:tc>
        <w:tc>
          <w:tcPr>
            <w:tcW w:w="5898" w:type="dxa"/>
            <w:gridSpan w:val="4"/>
          </w:tcPr>
          <w:p w14:paraId="2FF06A0C" w14:textId="09B7FEC6" w:rsidR="009117CC" w:rsidRPr="009117CC" w:rsidRDefault="009117CC" w:rsidP="00873B80">
            <w:pPr>
              <w:pStyle w:val="TableBlock"/>
              <w:rPr>
                <w:rtl/>
              </w:rPr>
            </w:pPr>
            <w:r>
              <w:rPr>
                <w:rFonts w:hint="cs"/>
                <w:rtl/>
              </w:rPr>
              <w:t xml:space="preserve">"עסק בינוני" - </w:t>
            </w:r>
            <w:r w:rsidR="0006587E">
              <w:rPr>
                <w:rFonts w:hint="cs"/>
                <w:rtl/>
              </w:rPr>
              <w:t xml:space="preserve">עסק שמחזור העסקאות השנתי שלו עולה על 20 מיליון שקלים חדשים אך אינו עולה על </w:t>
            </w:r>
            <w:r w:rsidR="0026723B">
              <w:rPr>
                <w:rFonts w:hint="cs"/>
                <w:rtl/>
              </w:rPr>
              <w:t>50</w:t>
            </w:r>
            <w:r w:rsidR="0006587E">
              <w:rPr>
                <w:rFonts w:hint="cs"/>
                <w:rtl/>
              </w:rPr>
              <w:t xml:space="preserve"> מיליון שקלים חדשים ולא מתקיים לגביו אחד התנאים שבהגדרה "עסק זעיר" או "עסק קטן"</w:t>
            </w:r>
            <w:r w:rsidR="00263843">
              <w:rPr>
                <w:rFonts w:hint="cs"/>
                <w:rtl/>
              </w:rPr>
              <w:t>;</w:t>
            </w:r>
          </w:p>
        </w:tc>
      </w:tr>
      <w:tr w:rsidR="000F3B0C" w14:paraId="234EC315" w14:textId="77777777" w:rsidTr="00B610E6">
        <w:trPr>
          <w:cantSplit/>
          <w:trHeight w:val="60"/>
        </w:trPr>
        <w:tc>
          <w:tcPr>
            <w:tcW w:w="1871" w:type="dxa"/>
          </w:tcPr>
          <w:p w14:paraId="35E6C97D" w14:textId="77777777" w:rsidR="000F3B0C" w:rsidRDefault="000F3B0C">
            <w:pPr>
              <w:pStyle w:val="TableSideHeading"/>
            </w:pPr>
          </w:p>
        </w:tc>
        <w:tc>
          <w:tcPr>
            <w:tcW w:w="624" w:type="dxa"/>
          </w:tcPr>
          <w:p w14:paraId="71CC82F2" w14:textId="77777777" w:rsidR="000F3B0C" w:rsidRDefault="000F3B0C">
            <w:pPr>
              <w:pStyle w:val="TableText"/>
            </w:pPr>
          </w:p>
        </w:tc>
        <w:tc>
          <w:tcPr>
            <w:tcW w:w="624" w:type="dxa"/>
          </w:tcPr>
          <w:p w14:paraId="4DC86324" w14:textId="77777777" w:rsidR="000F3B0C" w:rsidRDefault="000F3B0C">
            <w:pPr>
              <w:pStyle w:val="TableText"/>
            </w:pPr>
          </w:p>
        </w:tc>
        <w:tc>
          <w:tcPr>
            <w:tcW w:w="624" w:type="dxa"/>
          </w:tcPr>
          <w:p w14:paraId="1B904534" w14:textId="77777777" w:rsidR="000F3B0C" w:rsidRDefault="000F3B0C">
            <w:pPr>
              <w:pStyle w:val="TableText"/>
            </w:pPr>
          </w:p>
        </w:tc>
        <w:tc>
          <w:tcPr>
            <w:tcW w:w="5898" w:type="dxa"/>
            <w:gridSpan w:val="4"/>
          </w:tcPr>
          <w:p w14:paraId="08BBAFAA" w14:textId="579CCD60" w:rsidR="000F3B0C" w:rsidRPr="000F3B0C" w:rsidRDefault="000F3B0C" w:rsidP="000F3B0C">
            <w:pPr>
              <w:pStyle w:val="TableBlock"/>
              <w:rPr>
                <w:rtl/>
              </w:rPr>
            </w:pPr>
            <w:r>
              <w:rPr>
                <w:rFonts w:hint="cs"/>
                <w:rtl/>
              </w:rPr>
              <w:t>"עסק זעיר" - כהגדרתו ב</w:t>
            </w:r>
            <w:r w:rsidRPr="00072832">
              <w:rPr>
                <w:rtl/>
              </w:rPr>
              <w:t>חוק חובת המכרזים, תשנ"ב-1992</w:t>
            </w:r>
            <w:r>
              <w:rPr>
                <w:rFonts w:hint="cs"/>
                <w:rtl/>
              </w:rPr>
              <w:t>;</w:t>
            </w:r>
          </w:p>
        </w:tc>
      </w:tr>
      <w:tr w:rsidR="009117CC" w14:paraId="306619C6" w14:textId="77777777" w:rsidTr="00B610E6">
        <w:trPr>
          <w:cantSplit/>
          <w:trHeight w:val="60"/>
        </w:trPr>
        <w:tc>
          <w:tcPr>
            <w:tcW w:w="1871" w:type="dxa"/>
          </w:tcPr>
          <w:p w14:paraId="2EDFB6CD" w14:textId="77777777" w:rsidR="009117CC" w:rsidRDefault="009117CC">
            <w:pPr>
              <w:pStyle w:val="TableSideHeading"/>
            </w:pPr>
          </w:p>
        </w:tc>
        <w:tc>
          <w:tcPr>
            <w:tcW w:w="624" w:type="dxa"/>
          </w:tcPr>
          <w:p w14:paraId="57749F01" w14:textId="77777777" w:rsidR="009117CC" w:rsidRDefault="009117CC" w:rsidP="009117CC">
            <w:pPr>
              <w:pStyle w:val="TableText"/>
            </w:pPr>
          </w:p>
        </w:tc>
        <w:tc>
          <w:tcPr>
            <w:tcW w:w="624" w:type="dxa"/>
          </w:tcPr>
          <w:p w14:paraId="3004BC9C" w14:textId="77777777" w:rsidR="009117CC" w:rsidRDefault="009117CC">
            <w:pPr>
              <w:pStyle w:val="TableText"/>
            </w:pPr>
          </w:p>
        </w:tc>
        <w:tc>
          <w:tcPr>
            <w:tcW w:w="624" w:type="dxa"/>
          </w:tcPr>
          <w:p w14:paraId="40C47EF2" w14:textId="77777777" w:rsidR="009117CC" w:rsidRDefault="009117CC">
            <w:pPr>
              <w:pStyle w:val="TableText"/>
            </w:pPr>
          </w:p>
        </w:tc>
        <w:tc>
          <w:tcPr>
            <w:tcW w:w="5898" w:type="dxa"/>
            <w:gridSpan w:val="4"/>
          </w:tcPr>
          <w:p w14:paraId="4D46CE53" w14:textId="29F07B6E" w:rsidR="009117CC" w:rsidRDefault="009117CC" w:rsidP="000F3B0C">
            <w:pPr>
              <w:pStyle w:val="TableBlock"/>
              <w:rPr>
                <w:rtl/>
              </w:rPr>
            </w:pPr>
            <w:r>
              <w:rPr>
                <w:rFonts w:hint="cs"/>
                <w:rtl/>
              </w:rPr>
              <w:t>"עסק קטן" - כהגדרתו ב</w:t>
            </w:r>
            <w:r w:rsidRPr="00072832">
              <w:rPr>
                <w:rtl/>
              </w:rPr>
              <w:t>חוק חובת המכרזים, תשנ"ב-1992</w:t>
            </w:r>
            <w:r>
              <w:rPr>
                <w:rFonts w:hint="cs"/>
                <w:rtl/>
              </w:rPr>
              <w:t>;</w:t>
            </w:r>
          </w:p>
        </w:tc>
      </w:tr>
      <w:tr w:rsidR="008849AE" w14:paraId="7BBD3B25" w14:textId="77777777" w:rsidTr="00B610E6">
        <w:trPr>
          <w:cantSplit/>
          <w:trHeight w:val="60"/>
        </w:trPr>
        <w:tc>
          <w:tcPr>
            <w:tcW w:w="1871" w:type="dxa"/>
          </w:tcPr>
          <w:p w14:paraId="7575136D" w14:textId="77777777" w:rsidR="008849AE" w:rsidRPr="00257173" w:rsidRDefault="008849AE">
            <w:pPr>
              <w:pStyle w:val="TableSideHeading"/>
              <w:rPr>
                <w:sz w:val="14"/>
                <w:szCs w:val="20"/>
                <w:highlight w:val="cyan"/>
                <w:rtl/>
              </w:rPr>
            </w:pPr>
          </w:p>
        </w:tc>
        <w:tc>
          <w:tcPr>
            <w:tcW w:w="624" w:type="dxa"/>
          </w:tcPr>
          <w:p w14:paraId="27773B27" w14:textId="77777777" w:rsidR="008849AE" w:rsidRDefault="008849AE">
            <w:pPr>
              <w:pStyle w:val="TableText"/>
            </w:pPr>
          </w:p>
        </w:tc>
        <w:tc>
          <w:tcPr>
            <w:tcW w:w="624" w:type="dxa"/>
          </w:tcPr>
          <w:p w14:paraId="24251911" w14:textId="77777777" w:rsidR="008849AE" w:rsidRDefault="008849AE">
            <w:pPr>
              <w:pStyle w:val="TableText"/>
            </w:pPr>
          </w:p>
        </w:tc>
        <w:tc>
          <w:tcPr>
            <w:tcW w:w="624" w:type="dxa"/>
          </w:tcPr>
          <w:p w14:paraId="3E3F691B" w14:textId="77777777" w:rsidR="008849AE" w:rsidRDefault="008849AE">
            <w:pPr>
              <w:pStyle w:val="TableText"/>
            </w:pPr>
          </w:p>
        </w:tc>
        <w:tc>
          <w:tcPr>
            <w:tcW w:w="5898" w:type="dxa"/>
            <w:gridSpan w:val="4"/>
          </w:tcPr>
          <w:p w14:paraId="21B01909" w14:textId="2EFDC417" w:rsidR="008849AE" w:rsidRPr="008849AE" w:rsidRDefault="008849AE" w:rsidP="008849AE">
            <w:pPr>
              <w:pStyle w:val="TableBlockOutdent"/>
              <w:rPr>
                <w:rtl/>
              </w:rPr>
            </w:pPr>
            <w:r>
              <w:rPr>
                <w:rtl/>
              </w:rPr>
              <w:t>"</w:t>
            </w:r>
            <w:r w:rsidRPr="008849AE">
              <w:rPr>
                <w:rtl/>
              </w:rPr>
              <w:t>קופת חולים"- כ</w:t>
            </w:r>
            <w:r w:rsidRPr="008849AE">
              <w:rPr>
                <w:rFonts w:hint="eastAsia"/>
                <w:rtl/>
              </w:rPr>
              <w:t>הגדרתה</w:t>
            </w:r>
            <w:r w:rsidRPr="008849AE">
              <w:rPr>
                <w:rtl/>
              </w:rPr>
              <w:t xml:space="preserve"> בחוק ביטוח בריאות ממלכתי, </w:t>
            </w:r>
            <w:r w:rsidRPr="008849AE">
              <w:rPr>
                <w:rFonts w:hint="eastAsia"/>
                <w:rtl/>
              </w:rPr>
              <w:t>ה</w:t>
            </w:r>
            <w:r w:rsidRPr="008849AE">
              <w:rPr>
                <w:rtl/>
              </w:rPr>
              <w:t>תשנ"ד-1994</w:t>
            </w:r>
            <w:r>
              <w:rPr>
                <w:rStyle w:val="a7"/>
                <w:rtl/>
              </w:rPr>
              <w:footnoteReference w:id="5"/>
            </w:r>
            <w:r w:rsidRPr="008849AE">
              <w:rPr>
                <w:rFonts w:hint="cs"/>
                <w:rtl/>
              </w:rPr>
              <w:t>;</w:t>
            </w:r>
          </w:p>
        </w:tc>
      </w:tr>
      <w:tr w:rsidR="008849AE" w14:paraId="45A51E8C" w14:textId="77777777" w:rsidTr="00B610E6">
        <w:trPr>
          <w:cantSplit/>
          <w:trHeight w:val="60"/>
        </w:trPr>
        <w:tc>
          <w:tcPr>
            <w:tcW w:w="1871" w:type="dxa"/>
          </w:tcPr>
          <w:p w14:paraId="491E0D3A" w14:textId="77777777" w:rsidR="008849AE" w:rsidRPr="00257173" w:rsidRDefault="008849AE">
            <w:pPr>
              <w:pStyle w:val="TableSideHeading"/>
              <w:rPr>
                <w:sz w:val="14"/>
                <w:szCs w:val="20"/>
                <w:highlight w:val="cyan"/>
                <w:rtl/>
              </w:rPr>
            </w:pPr>
          </w:p>
        </w:tc>
        <w:tc>
          <w:tcPr>
            <w:tcW w:w="624" w:type="dxa"/>
          </w:tcPr>
          <w:p w14:paraId="20EE5140" w14:textId="77777777" w:rsidR="008849AE" w:rsidRDefault="008849AE">
            <w:pPr>
              <w:pStyle w:val="TableText"/>
            </w:pPr>
          </w:p>
        </w:tc>
        <w:tc>
          <w:tcPr>
            <w:tcW w:w="624" w:type="dxa"/>
          </w:tcPr>
          <w:p w14:paraId="71AFBC4B" w14:textId="77777777" w:rsidR="008849AE" w:rsidRDefault="008849AE">
            <w:pPr>
              <w:pStyle w:val="TableText"/>
            </w:pPr>
          </w:p>
        </w:tc>
        <w:tc>
          <w:tcPr>
            <w:tcW w:w="624" w:type="dxa"/>
          </w:tcPr>
          <w:p w14:paraId="7DD7845A" w14:textId="77777777" w:rsidR="008849AE" w:rsidRDefault="008849AE">
            <w:pPr>
              <w:pStyle w:val="TableText"/>
            </w:pPr>
          </w:p>
        </w:tc>
        <w:tc>
          <w:tcPr>
            <w:tcW w:w="5898" w:type="dxa"/>
            <w:gridSpan w:val="4"/>
          </w:tcPr>
          <w:p w14:paraId="4FFD5B51" w14:textId="79B5AE10" w:rsidR="008849AE" w:rsidRPr="008849AE" w:rsidRDefault="008849AE" w:rsidP="008849AE">
            <w:pPr>
              <w:pStyle w:val="TableBlockOutdent"/>
              <w:rPr>
                <w:rtl/>
              </w:rPr>
            </w:pPr>
            <w:r>
              <w:rPr>
                <w:rtl/>
              </w:rPr>
              <w:t>"</w:t>
            </w:r>
            <w:r w:rsidRPr="008849AE">
              <w:rPr>
                <w:rFonts w:hint="cs"/>
                <w:rtl/>
              </w:rPr>
              <w:t>רשות מקרקעי ישראל"- כמשמעותה בחוק רשות מקרקעי ישראל, התש"ך-1960</w:t>
            </w:r>
            <w:r>
              <w:rPr>
                <w:rStyle w:val="a7"/>
                <w:rtl/>
              </w:rPr>
              <w:footnoteReference w:id="6"/>
            </w:r>
            <w:r w:rsidRPr="008849AE">
              <w:rPr>
                <w:rFonts w:hint="cs"/>
                <w:rtl/>
              </w:rPr>
              <w:t>;";</w:t>
            </w:r>
          </w:p>
        </w:tc>
      </w:tr>
      <w:tr w:rsidR="00D63BFA" w14:paraId="776A6EBC" w14:textId="77777777">
        <w:trPr>
          <w:cantSplit/>
          <w:trHeight w:val="60"/>
        </w:trPr>
        <w:tc>
          <w:tcPr>
            <w:tcW w:w="1871" w:type="dxa"/>
          </w:tcPr>
          <w:p w14:paraId="7C6DB139" w14:textId="77777777" w:rsidR="00D63BFA" w:rsidRDefault="00D63BFA">
            <w:pPr>
              <w:pStyle w:val="TableSideHeading"/>
            </w:pPr>
          </w:p>
        </w:tc>
        <w:tc>
          <w:tcPr>
            <w:tcW w:w="624" w:type="dxa"/>
          </w:tcPr>
          <w:p w14:paraId="1734CFAC" w14:textId="77777777" w:rsidR="00D63BFA" w:rsidRDefault="00D63BFA">
            <w:pPr>
              <w:pStyle w:val="TableText"/>
            </w:pPr>
          </w:p>
        </w:tc>
        <w:tc>
          <w:tcPr>
            <w:tcW w:w="624" w:type="dxa"/>
          </w:tcPr>
          <w:p w14:paraId="600FA59E" w14:textId="77777777" w:rsidR="00D63BFA" w:rsidRDefault="00D63BFA">
            <w:pPr>
              <w:pStyle w:val="TableText"/>
            </w:pPr>
          </w:p>
        </w:tc>
        <w:tc>
          <w:tcPr>
            <w:tcW w:w="6522" w:type="dxa"/>
            <w:gridSpan w:val="5"/>
          </w:tcPr>
          <w:p w14:paraId="535177B6" w14:textId="358FA91F" w:rsidR="00D63BFA" w:rsidRDefault="00D63BFA" w:rsidP="00461E2C">
            <w:pPr>
              <w:pStyle w:val="TableBlock"/>
              <w:numPr>
                <w:ilvl w:val="0"/>
                <w:numId w:val="5"/>
              </w:numPr>
              <w:tabs>
                <w:tab w:val="left" w:pos="624"/>
              </w:tabs>
            </w:pPr>
            <w:r>
              <w:rPr>
                <w:rFonts w:hint="cs"/>
                <w:rtl/>
              </w:rPr>
              <w:t>אחרי הה</w:t>
            </w:r>
            <w:r w:rsidR="00602832">
              <w:rPr>
                <w:rFonts w:hint="cs"/>
                <w:rtl/>
              </w:rPr>
              <w:t>ג</w:t>
            </w:r>
            <w:r>
              <w:rPr>
                <w:rFonts w:hint="cs"/>
                <w:rtl/>
              </w:rPr>
              <w:t>דרה "תאגיד בנקאי" יבוא:</w:t>
            </w:r>
          </w:p>
        </w:tc>
      </w:tr>
      <w:tr w:rsidR="00D63BFA" w14:paraId="44FA8873" w14:textId="77777777">
        <w:trPr>
          <w:cantSplit/>
          <w:trHeight w:val="60"/>
        </w:trPr>
        <w:tc>
          <w:tcPr>
            <w:tcW w:w="1871" w:type="dxa"/>
          </w:tcPr>
          <w:p w14:paraId="26D7F0DA" w14:textId="77777777" w:rsidR="00D63BFA" w:rsidRDefault="00D63BFA">
            <w:pPr>
              <w:pStyle w:val="TableSideHeading"/>
            </w:pPr>
          </w:p>
        </w:tc>
        <w:tc>
          <w:tcPr>
            <w:tcW w:w="624" w:type="dxa"/>
          </w:tcPr>
          <w:p w14:paraId="453FA513" w14:textId="77777777" w:rsidR="00D63BFA" w:rsidRDefault="00D63BFA">
            <w:pPr>
              <w:pStyle w:val="TableText"/>
            </w:pPr>
          </w:p>
        </w:tc>
        <w:tc>
          <w:tcPr>
            <w:tcW w:w="624" w:type="dxa"/>
          </w:tcPr>
          <w:p w14:paraId="35ACA77D" w14:textId="77777777" w:rsidR="00D63BFA" w:rsidRDefault="00D63BFA">
            <w:pPr>
              <w:pStyle w:val="TableText"/>
            </w:pPr>
          </w:p>
        </w:tc>
        <w:tc>
          <w:tcPr>
            <w:tcW w:w="624" w:type="dxa"/>
          </w:tcPr>
          <w:p w14:paraId="3BA23B3B" w14:textId="77777777" w:rsidR="00D63BFA" w:rsidRDefault="00D63BFA">
            <w:pPr>
              <w:pStyle w:val="TableText"/>
            </w:pPr>
          </w:p>
        </w:tc>
        <w:tc>
          <w:tcPr>
            <w:tcW w:w="5898" w:type="dxa"/>
            <w:gridSpan w:val="4"/>
          </w:tcPr>
          <w:p w14:paraId="59C71196" w14:textId="65D67DC1" w:rsidR="00D63BFA" w:rsidRPr="00D63BFA" w:rsidRDefault="00D63BFA" w:rsidP="00D63BFA">
            <w:pPr>
              <w:pStyle w:val="TableBlockOutdent"/>
            </w:pPr>
            <w:r>
              <w:rPr>
                <w:rtl/>
              </w:rPr>
              <w:t>""</w:t>
            </w:r>
            <w:r w:rsidRPr="00D63BFA">
              <w:rPr>
                <w:rtl/>
              </w:rPr>
              <w:t>תאגיד מים וביוב" – חברה כמשמעותה בחוק תאגידי מים וביוב, התשס"א-2001</w:t>
            </w:r>
            <w:r>
              <w:rPr>
                <w:rStyle w:val="a7"/>
                <w:rtl/>
              </w:rPr>
              <w:footnoteReference w:id="7"/>
            </w:r>
            <w:r w:rsidRPr="00D63BFA">
              <w:rPr>
                <w:rFonts w:hint="cs"/>
                <w:rtl/>
              </w:rPr>
              <w:t>, וכל עוד החברה היא חברה בשליטת רשות מקומית וכן מועצה אזורית כהגדרתה בצו המועצות המקומיות (מועצות אזוריות), התשי"ח-1958, ובכלל זה חברה המצויה בבעלות מלאה של מועצה אזורית וכן מועצה מקומית תעשייתית ובלבד שלא חל לגביהן צו לפי סעיף 151 לחוק האמור;"</w:t>
            </w:r>
            <w:r w:rsidRPr="00D63BFA">
              <w:rPr>
                <w:rtl/>
              </w:rPr>
              <w:t>;</w:t>
            </w:r>
          </w:p>
        </w:tc>
      </w:tr>
      <w:tr w:rsidR="00947D3F" w14:paraId="0D9986EA" w14:textId="77777777">
        <w:trPr>
          <w:cantSplit/>
          <w:trHeight w:val="60"/>
        </w:trPr>
        <w:tc>
          <w:tcPr>
            <w:tcW w:w="1871" w:type="dxa"/>
          </w:tcPr>
          <w:p w14:paraId="3CCD6CBD" w14:textId="77777777" w:rsidR="00947D3F" w:rsidRDefault="00947D3F">
            <w:pPr>
              <w:pStyle w:val="TableSideHeading"/>
            </w:pPr>
          </w:p>
        </w:tc>
        <w:tc>
          <w:tcPr>
            <w:tcW w:w="624" w:type="dxa"/>
          </w:tcPr>
          <w:p w14:paraId="2FD168CD" w14:textId="77777777" w:rsidR="00947D3F" w:rsidRDefault="00947D3F">
            <w:pPr>
              <w:pStyle w:val="TableText"/>
            </w:pPr>
          </w:p>
        </w:tc>
        <w:tc>
          <w:tcPr>
            <w:tcW w:w="624" w:type="dxa"/>
          </w:tcPr>
          <w:p w14:paraId="0FAE47A8" w14:textId="77777777" w:rsidR="00947D3F" w:rsidRDefault="00947D3F">
            <w:pPr>
              <w:pStyle w:val="TableText"/>
            </w:pPr>
          </w:p>
        </w:tc>
        <w:tc>
          <w:tcPr>
            <w:tcW w:w="6522" w:type="dxa"/>
            <w:gridSpan w:val="5"/>
          </w:tcPr>
          <w:p w14:paraId="2BFFC0F0" w14:textId="76E0B5F9" w:rsidR="00947D3F" w:rsidRDefault="00947D3F" w:rsidP="00461E2C">
            <w:pPr>
              <w:pStyle w:val="TableBlock"/>
              <w:numPr>
                <w:ilvl w:val="0"/>
                <w:numId w:val="5"/>
              </w:numPr>
              <w:tabs>
                <w:tab w:val="left" w:pos="624"/>
              </w:tabs>
            </w:pPr>
            <w:r>
              <w:rPr>
                <w:rFonts w:hint="cs"/>
                <w:rtl/>
              </w:rPr>
              <w:t>אחרי ההגדרה "תובענה ייצוגית" יבוא:</w:t>
            </w:r>
          </w:p>
        </w:tc>
      </w:tr>
      <w:tr w:rsidR="00947D3F" w14:paraId="5461CED3" w14:textId="77777777">
        <w:trPr>
          <w:cantSplit/>
          <w:trHeight w:val="60"/>
        </w:trPr>
        <w:tc>
          <w:tcPr>
            <w:tcW w:w="1871" w:type="dxa"/>
          </w:tcPr>
          <w:p w14:paraId="562F8276" w14:textId="11EEAAC3" w:rsidR="00947D3F" w:rsidRDefault="00947D3F" w:rsidP="0001479B">
            <w:pPr>
              <w:pStyle w:val="TableSideHeading"/>
              <w:keepLines w:val="0"/>
              <w:ind w:left="408"/>
            </w:pPr>
          </w:p>
        </w:tc>
        <w:tc>
          <w:tcPr>
            <w:tcW w:w="624" w:type="dxa"/>
          </w:tcPr>
          <w:p w14:paraId="77ACC972" w14:textId="77777777" w:rsidR="00947D3F" w:rsidRDefault="00947D3F">
            <w:pPr>
              <w:pStyle w:val="TableText"/>
            </w:pPr>
          </w:p>
        </w:tc>
        <w:tc>
          <w:tcPr>
            <w:tcW w:w="624" w:type="dxa"/>
          </w:tcPr>
          <w:p w14:paraId="3AB91FC9" w14:textId="77777777" w:rsidR="00947D3F" w:rsidRDefault="00947D3F">
            <w:pPr>
              <w:pStyle w:val="TableText"/>
            </w:pPr>
          </w:p>
        </w:tc>
        <w:tc>
          <w:tcPr>
            <w:tcW w:w="624" w:type="dxa"/>
          </w:tcPr>
          <w:p w14:paraId="6B054825" w14:textId="77777777" w:rsidR="00947D3F" w:rsidRDefault="00947D3F">
            <w:pPr>
              <w:pStyle w:val="TableText"/>
            </w:pPr>
          </w:p>
        </w:tc>
        <w:tc>
          <w:tcPr>
            <w:tcW w:w="5898" w:type="dxa"/>
            <w:gridSpan w:val="4"/>
          </w:tcPr>
          <w:p w14:paraId="44ADA362" w14:textId="67CED62E" w:rsidR="00947D3F" w:rsidRPr="00947D3F" w:rsidRDefault="00947D3F" w:rsidP="00947D3F">
            <w:pPr>
              <w:pStyle w:val="TableBlock"/>
              <w:tabs>
                <w:tab w:val="clear" w:pos="1247"/>
              </w:tabs>
              <w:rPr>
                <w:rtl/>
              </w:rPr>
            </w:pPr>
            <w:r>
              <w:rPr>
                <w:rFonts w:hint="cs"/>
                <w:rtl/>
              </w:rPr>
              <w:t>""</w:t>
            </w:r>
            <w:r w:rsidRPr="00947D3F">
              <w:rPr>
                <w:rtl/>
              </w:rPr>
              <w:t>תקנות שוויון זכויות לאנשים עם מוגבלות (התאמות נגישות לשירות)</w:t>
            </w:r>
            <w:r>
              <w:rPr>
                <w:rFonts w:hint="cs"/>
                <w:rtl/>
              </w:rPr>
              <w:t xml:space="preserve">" - </w:t>
            </w:r>
            <w:r w:rsidRPr="00947D3F">
              <w:rPr>
                <w:rtl/>
              </w:rPr>
              <w:t>תקנות שוויון זכויות לאנשים עם מוגבלות (התאמות נגישות לשירות),</w:t>
            </w:r>
            <w:r>
              <w:rPr>
                <w:rFonts w:hint="cs"/>
                <w:rtl/>
              </w:rPr>
              <w:t xml:space="preserve"> </w:t>
            </w:r>
            <w:r w:rsidRPr="00947D3F">
              <w:rPr>
                <w:rtl/>
              </w:rPr>
              <w:t>תשע"ג-2013</w:t>
            </w:r>
            <w:r>
              <w:rPr>
                <w:rStyle w:val="a7"/>
                <w:rtl/>
              </w:rPr>
              <w:footnoteReference w:id="8"/>
            </w:r>
            <w:r>
              <w:rPr>
                <w:rFonts w:hint="cs"/>
                <w:rtl/>
              </w:rPr>
              <w:t>;</w:t>
            </w:r>
          </w:p>
        </w:tc>
      </w:tr>
      <w:tr w:rsidR="0001479B" w14:paraId="6D1E6D78" w14:textId="77777777">
        <w:trPr>
          <w:cantSplit/>
          <w:trHeight w:val="60"/>
        </w:trPr>
        <w:tc>
          <w:tcPr>
            <w:tcW w:w="1871" w:type="dxa"/>
          </w:tcPr>
          <w:p w14:paraId="219A6425" w14:textId="77777777" w:rsidR="0001479B" w:rsidRDefault="0001479B" w:rsidP="0001479B">
            <w:pPr>
              <w:pStyle w:val="TableSideHeading"/>
              <w:keepLines w:val="0"/>
              <w:ind w:left="408"/>
            </w:pPr>
          </w:p>
        </w:tc>
        <w:tc>
          <w:tcPr>
            <w:tcW w:w="624" w:type="dxa"/>
          </w:tcPr>
          <w:p w14:paraId="3B00ABA5" w14:textId="77777777" w:rsidR="0001479B" w:rsidRDefault="0001479B" w:rsidP="0001479B">
            <w:pPr>
              <w:pStyle w:val="TableText"/>
            </w:pPr>
          </w:p>
        </w:tc>
        <w:tc>
          <w:tcPr>
            <w:tcW w:w="624" w:type="dxa"/>
          </w:tcPr>
          <w:p w14:paraId="23C5A85E" w14:textId="77777777" w:rsidR="0001479B" w:rsidRDefault="0001479B">
            <w:pPr>
              <w:pStyle w:val="TableText"/>
            </w:pPr>
          </w:p>
        </w:tc>
        <w:tc>
          <w:tcPr>
            <w:tcW w:w="624" w:type="dxa"/>
          </w:tcPr>
          <w:p w14:paraId="70D8E64D" w14:textId="77777777" w:rsidR="0001479B" w:rsidRDefault="0001479B">
            <w:pPr>
              <w:pStyle w:val="TableText"/>
            </w:pPr>
          </w:p>
        </w:tc>
        <w:tc>
          <w:tcPr>
            <w:tcW w:w="5898" w:type="dxa"/>
            <w:gridSpan w:val="4"/>
          </w:tcPr>
          <w:p w14:paraId="4C08151A" w14:textId="11001B38" w:rsidR="0001479B" w:rsidRDefault="0001479B" w:rsidP="00947D3F">
            <w:pPr>
              <w:pStyle w:val="TableBlock"/>
              <w:tabs>
                <w:tab w:val="clear" w:pos="1247"/>
              </w:tabs>
              <w:rPr>
                <w:rtl/>
              </w:rPr>
            </w:pPr>
            <w:r>
              <w:rPr>
                <w:rFonts w:hint="cs"/>
                <w:rtl/>
              </w:rPr>
              <w:t xml:space="preserve">"תקנות הגנת הפרטיות (אבטחת מידע)" - </w:t>
            </w:r>
            <w:r w:rsidRPr="00201838">
              <w:rPr>
                <w:rFonts w:ascii="David" w:hAnsi="David"/>
                <w:sz w:val="26"/>
                <w:rtl/>
              </w:rPr>
              <w:t>תקנות הגנת הפרטיות (אבטחת מידע), התשע"ז-2017</w:t>
            </w:r>
            <w:r w:rsidR="00065743">
              <w:rPr>
                <w:rStyle w:val="a7"/>
                <w:rtl/>
              </w:rPr>
              <w:footnoteReference w:id="9"/>
            </w:r>
            <w:r w:rsidR="003E4B79">
              <w:rPr>
                <w:rFonts w:hint="cs"/>
                <w:rtl/>
              </w:rPr>
              <w:t>;".</w:t>
            </w:r>
          </w:p>
        </w:tc>
      </w:tr>
      <w:tr w:rsidR="002C35CA" w14:paraId="6B503190" w14:textId="77777777">
        <w:trPr>
          <w:cantSplit/>
          <w:trHeight w:val="60"/>
        </w:trPr>
        <w:tc>
          <w:tcPr>
            <w:tcW w:w="1871" w:type="dxa"/>
          </w:tcPr>
          <w:p w14:paraId="0B6A3E2A" w14:textId="77777777" w:rsidR="002C35CA" w:rsidRDefault="002C35CA" w:rsidP="0001479B">
            <w:pPr>
              <w:pStyle w:val="TableSideHeading"/>
              <w:keepLines w:val="0"/>
              <w:ind w:left="408"/>
            </w:pPr>
          </w:p>
        </w:tc>
        <w:tc>
          <w:tcPr>
            <w:tcW w:w="624" w:type="dxa"/>
          </w:tcPr>
          <w:p w14:paraId="05DF9A64" w14:textId="77777777" w:rsidR="002C35CA" w:rsidRDefault="002C35CA" w:rsidP="002C35CA">
            <w:pPr>
              <w:pStyle w:val="TableText"/>
            </w:pPr>
          </w:p>
        </w:tc>
        <w:tc>
          <w:tcPr>
            <w:tcW w:w="624" w:type="dxa"/>
          </w:tcPr>
          <w:p w14:paraId="6E32AC97" w14:textId="77777777" w:rsidR="002C35CA" w:rsidRDefault="002C35CA">
            <w:pPr>
              <w:pStyle w:val="TableText"/>
            </w:pPr>
          </w:p>
        </w:tc>
        <w:tc>
          <w:tcPr>
            <w:tcW w:w="624" w:type="dxa"/>
          </w:tcPr>
          <w:p w14:paraId="29141AE3" w14:textId="77777777" w:rsidR="002C35CA" w:rsidRDefault="002C35CA">
            <w:pPr>
              <w:pStyle w:val="TableText"/>
            </w:pPr>
          </w:p>
        </w:tc>
        <w:tc>
          <w:tcPr>
            <w:tcW w:w="5898" w:type="dxa"/>
            <w:gridSpan w:val="4"/>
          </w:tcPr>
          <w:p w14:paraId="03583E07" w14:textId="58F8F2C2" w:rsidR="002C35CA" w:rsidRDefault="002C35CA" w:rsidP="00947D3F">
            <w:pPr>
              <w:pStyle w:val="TableBlock"/>
              <w:tabs>
                <w:tab w:val="clear" w:pos="1247"/>
              </w:tabs>
              <w:rPr>
                <w:rtl/>
              </w:rPr>
            </w:pPr>
            <w:r>
              <w:rPr>
                <w:rFonts w:hint="cs"/>
                <w:rtl/>
              </w:rPr>
              <w:t xml:space="preserve">"תרומת מוצרים" </w:t>
            </w:r>
            <w:r>
              <w:rPr>
                <w:rtl/>
              </w:rPr>
              <w:t>–</w:t>
            </w:r>
            <w:r>
              <w:rPr>
                <w:rFonts w:hint="cs"/>
                <w:rtl/>
              </w:rPr>
              <w:t xml:space="preserve"> מתן מוצר או שירות לגוף שאינו למטרת רווח</w:t>
            </w:r>
            <w:r w:rsidR="003C7A7A">
              <w:rPr>
                <w:rFonts w:hint="cs"/>
                <w:rtl/>
              </w:rPr>
              <w:t xml:space="preserve"> ללא תמורה</w:t>
            </w:r>
            <w:r>
              <w:rPr>
                <w:rFonts w:hint="cs"/>
                <w:rtl/>
              </w:rPr>
              <w:t>;</w:t>
            </w:r>
          </w:p>
        </w:tc>
      </w:tr>
      <w:tr w:rsidR="00D63BFA" w14:paraId="2E7713C7" w14:textId="77777777">
        <w:trPr>
          <w:cantSplit/>
          <w:trHeight w:val="60"/>
        </w:trPr>
        <w:tc>
          <w:tcPr>
            <w:tcW w:w="1871" w:type="dxa"/>
          </w:tcPr>
          <w:p w14:paraId="7A62570C" w14:textId="3A794180" w:rsidR="00D63BFA" w:rsidRDefault="00D63BFA" w:rsidP="007E751D">
            <w:pPr>
              <w:pStyle w:val="TableSideHeading"/>
              <w:keepLines w:val="0"/>
            </w:pPr>
            <w:r>
              <w:rPr>
                <w:rFonts w:hint="cs"/>
                <w:rtl/>
              </w:rPr>
              <w:t>תיקון סעיף 3</w:t>
            </w:r>
          </w:p>
        </w:tc>
        <w:tc>
          <w:tcPr>
            <w:tcW w:w="624" w:type="dxa"/>
          </w:tcPr>
          <w:p w14:paraId="29B26B03" w14:textId="77777777" w:rsidR="00D63BFA" w:rsidRDefault="00D63BFA" w:rsidP="00461E2C">
            <w:pPr>
              <w:pStyle w:val="TableText"/>
              <w:keepLines w:val="0"/>
              <w:numPr>
                <w:ilvl w:val="0"/>
                <w:numId w:val="2"/>
              </w:numPr>
            </w:pPr>
          </w:p>
        </w:tc>
        <w:tc>
          <w:tcPr>
            <w:tcW w:w="7146" w:type="dxa"/>
            <w:gridSpan w:val="6"/>
          </w:tcPr>
          <w:p w14:paraId="3CC00B1C" w14:textId="0806C826" w:rsidR="00D16407" w:rsidRPr="00C34DE2" w:rsidRDefault="00D16407" w:rsidP="00D16407">
            <w:pPr>
              <w:pStyle w:val="TableBlock"/>
              <w:keepLines w:val="0"/>
            </w:pPr>
            <w:r>
              <w:rPr>
                <w:rFonts w:hint="cs"/>
                <w:rtl/>
              </w:rPr>
              <w:t>בסעיף 3</w:t>
            </w:r>
            <w:r w:rsidR="00B97B44">
              <w:rPr>
                <w:rFonts w:hint="cs"/>
                <w:rtl/>
              </w:rPr>
              <w:t xml:space="preserve"> לחוק העיקרי - </w:t>
            </w:r>
          </w:p>
        </w:tc>
      </w:tr>
      <w:tr w:rsidR="00B97B44" w14:paraId="3924C3A8" w14:textId="77777777">
        <w:trPr>
          <w:cantSplit/>
          <w:trHeight w:val="60"/>
        </w:trPr>
        <w:tc>
          <w:tcPr>
            <w:tcW w:w="1871" w:type="dxa"/>
          </w:tcPr>
          <w:p w14:paraId="05241913" w14:textId="77777777" w:rsidR="00B97B44" w:rsidRDefault="00B97B44">
            <w:pPr>
              <w:pStyle w:val="TableSideHeading"/>
            </w:pPr>
          </w:p>
        </w:tc>
        <w:tc>
          <w:tcPr>
            <w:tcW w:w="624" w:type="dxa"/>
          </w:tcPr>
          <w:p w14:paraId="54E2B096" w14:textId="77777777" w:rsidR="00B97B44" w:rsidRDefault="00B97B44">
            <w:pPr>
              <w:pStyle w:val="TableText"/>
            </w:pPr>
          </w:p>
        </w:tc>
        <w:tc>
          <w:tcPr>
            <w:tcW w:w="624" w:type="dxa"/>
          </w:tcPr>
          <w:p w14:paraId="179D5DA9" w14:textId="77777777" w:rsidR="00B97B44" w:rsidRDefault="00B97B44">
            <w:pPr>
              <w:pStyle w:val="TableText"/>
            </w:pPr>
          </w:p>
        </w:tc>
        <w:tc>
          <w:tcPr>
            <w:tcW w:w="6522" w:type="dxa"/>
            <w:gridSpan w:val="5"/>
          </w:tcPr>
          <w:p w14:paraId="0B1ED6D8" w14:textId="14DD4758" w:rsidR="00B97B44" w:rsidRDefault="00B97B44" w:rsidP="00C57EB2">
            <w:pPr>
              <w:pStyle w:val="TableBlock"/>
              <w:numPr>
                <w:ilvl w:val="0"/>
                <w:numId w:val="30"/>
              </w:numPr>
              <w:tabs>
                <w:tab w:val="left" w:pos="624"/>
              </w:tabs>
            </w:pPr>
            <w:r>
              <w:rPr>
                <w:rFonts w:hint="cs"/>
                <w:rtl/>
              </w:rPr>
              <w:t xml:space="preserve">בסעיף קטן (א) במקום </w:t>
            </w:r>
            <w:r w:rsidRPr="00D16407">
              <w:rPr>
                <w:rtl/>
              </w:rPr>
              <w:t xml:space="preserve">"נזק </w:t>
            </w:r>
            <w:r w:rsidRPr="00D16407">
              <w:rPr>
                <w:rFonts w:hint="eastAsia"/>
                <w:rtl/>
              </w:rPr>
              <w:t>שנגרם</w:t>
            </w:r>
            <w:r w:rsidRPr="00D16407">
              <w:rPr>
                <w:rtl/>
              </w:rPr>
              <w:t xml:space="preserve"> </w:t>
            </w:r>
            <w:r w:rsidRPr="00D16407">
              <w:rPr>
                <w:rFonts w:hint="eastAsia"/>
                <w:rtl/>
              </w:rPr>
              <w:t>על</w:t>
            </w:r>
            <w:r w:rsidRPr="00D16407">
              <w:rPr>
                <w:rtl/>
              </w:rPr>
              <w:t xml:space="preserve"> </w:t>
            </w:r>
            <w:r w:rsidRPr="00D16407">
              <w:rPr>
                <w:rFonts w:hint="eastAsia"/>
                <w:rtl/>
              </w:rPr>
              <w:t>ידי</w:t>
            </w:r>
            <w:r w:rsidRPr="00D16407">
              <w:rPr>
                <w:rtl/>
              </w:rPr>
              <w:t xml:space="preserve"> </w:t>
            </w:r>
            <w:r w:rsidRPr="00D16407">
              <w:rPr>
                <w:rFonts w:hint="eastAsia"/>
                <w:rtl/>
              </w:rPr>
              <w:t>צד</w:t>
            </w:r>
            <w:r w:rsidRPr="00D16407">
              <w:rPr>
                <w:rtl/>
              </w:rPr>
              <w:t xml:space="preserve"> </w:t>
            </w:r>
            <w:r w:rsidRPr="00D16407">
              <w:rPr>
                <w:rFonts w:hint="eastAsia"/>
                <w:rtl/>
              </w:rPr>
              <w:t>שלישי</w:t>
            </w:r>
            <w:r w:rsidRPr="00D16407">
              <w:rPr>
                <w:rtl/>
              </w:rPr>
              <w:t xml:space="preserve">" </w:t>
            </w:r>
            <w:r w:rsidRPr="00D16407">
              <w:rPr>
                <w:rFonts w:hint="eastAsia"/>
                <w:rtl/>
              </w:rPr>
              <w:t>יבוא</w:t>
            </w:r>
            <w:r w:rsidRPr="00D16407">
              <w:rPr>
                <w:rtl/>
              </w:rPr>
              <w:t xml:space="preserve"> "נזק </w:t>
            </w:r>
            <w:r w:rsidRPr="00D16407">
              <w:rPr>
                <w:rFonts w:hint="eastAsia"/>
                <w:rtl/>
              </w:rPr>
              <w:t>שנגרם</w:t>
            </w:r>
            <w:r w:rsidRPr="00D16407">
              <w:rPr>
                <w:rtl/>
              </w:rPr>
              <w:t xml:space="preserve"> </w:t>
            </w:r>
            <w:r w:rsidRPr="00D16407">
              <w:rPr>
                <w:rFonts w:hint="eastAsia"/>
                <w:rtl/>
              </w:rPr>
              <w:t>על</w:t>
            </w:r>
            <w:r w:rsidRPr="00D16407">
              <w:rPr>
                <w:rtl/>
              </w:rPr>
              <w:t xml:space="preserve"> </w:t>
            </w:r>
            <w:r w:rsidRPr="00D16407">
              <w:rPr>
                <w:rFonts w:hint="eastAsia"/>
                <w:rtl/>
              </w:rPr>
              <w:t>ידי</w:t>
            </w:r>
            <w:r w:rsidRPr="00D16407">
              <w:rPr>
                <w:rtl/>
              </w:rPr>
              <w:t xml:space="preserve"> </w:t>
            </w:r>
            <w:r w:rsidRPr="00D16407">
              <w:rPr>
                <w:rFonts w:hint="eastAsia"/>
                <w:rtl/>
              </w:rPr>
              <w:t>צד</w:t>
            </w:r>
            <w:r w:rsidRPr="00D16407">
              <w:rPr>
                <w:rtl/>
              </w:rPr>
              <w:t xml:space="preserve"> </w:t>
            </w:r>
            <w:r w:rsidRPr="00D16407">
              <w:rPr>
                <w:rFonts w:hint="eastAsia"/>
                <w:rtl/>
              </w:rPr>
              <w:t>אחר</w:t>
            </w:r>
            <w:r w:rsidRPr="00D16407">
              <w:rPr>
                <w:rtl/>
              </w:rPr>
              <w:t xml:space="preserve">" </w:t>
            </w:r>
            <w:r w:rsidRPr="00D16407">
              <w:rPr>
                <w:rFonts w:hint="eastAsia"/>
                <w:rtl/>
              </w:rPr>
              <w:t>ובמקום</w:t>
            </w:r>
            <w:r w:rsidRPr="00D16407">
              <w:rPr>
                <w:rtl/>
              </w:rPr>
              <w:t xml:space="preserve"> "ביחס </w:t>
            </w:r>
            <w:r w:rsidRPr="00D16407">
              <w:rPr>
                <w:rFonts w:hint="eastAsia"/>
                <w:rtl/>
              </w:rPr>
              <w:t>לאותו</w:t>
            </w:r>
            <w:r w:rsidRPr="00D16407">
              <w:rPr>
                <w:rtl/>
              </w:rPr>
              <w:t xml:space="preserve"> </w:t>
            </w:r>
            <w:r w:rsidRPr="00D16407">
              <w:rPr>
                <w:rFonts w:hint="eastAsia"/>
                <w:rtl/>
              </w:rPr>
              <w:t>צד</w:t>
            </w:r>
            <w:r w:rsidRPr="00D16407">
              <w:rPr>
                <w:rtl/>
              </w:rPr>
              <w:t xml:space="preserve"> </w:t>
            </w:r>
            <w:r w:rsidRPr="00D16407">
              <w:rPr>
                <w:rFonts w:hint="eastAsia"/>
                <w:rtl/>
              </w:rPr>
              <w:t>שלישי</w:t>
            </w:r>
            <w:r w:rsidRPr="00D16407">
              <w:rPr>
                <w:rtl/>
              </w:rPr>
              <w:t xml:space="preserve">" </w:t>
            </w:r>
            <w:r w:rsidRPr="00D16407">
              <w:rPr>
                <w:rFonts w:hint="eastAsia"/>
                <w:rtl/>
              </w:rPr>
              <w:t>יבוא</w:t>
            </w:r>
            <w:r w:rsidRPr="00D16407">
              <w:rPr>
                <w:rtl/>
              </w:rPr>
              <w:t xml:space="preserve"> "ביחס </w:t>
            </w:r>
            <w:r w:rsidRPr="00D16407">
              <w:rPr>
                <w:rFonts w:hint="eastAsia"/>
                <w:rtl/>
              </w:rPr>
              <w:t>לאותו</w:t>
            </w:r>
            <w:r w:rsidRPr="00D16407">
              <w:rPr>
                <w:rtl/>
              </w:rPr>
              <w:t xml:space="preserve"> </w:t>
            </w:r>
            <w:r w:rsidRPr="00D16407">
              <w:rPr>
                <w:rFonts w:hint="eastAsia"/>
                <w:rtl/>
              </w:rPr>
              <w:t>צד</w:t>
            </w:r>
            <w:r w:rsidRPr="00D16407">
              <w:rPr>
                <w:rtl/>
              </w:rPr>
              <w:t xml:space="preserve"> </w:t>
            </w:r>
            <w:r w:rsidRPr="00D16407">
              <w:rPr>
                <w:rFonts w:hint="eastAsia"/>
                <w:rtl/>
              </w:rPr>
              <w:t>אחר</w:t>
            </w:r>
            <w:r w:rsidRPr="00D16407">
              <w:rPr>
                <w:rtl/>
              </w:rPr>
              <w:t xml:space="preserve"> </w:t>
            </w:r>
            <w:r w:rsidRPr="00D16407">
              <w:rPr>
                <w:rFonts w:hint="eastAsia"/>
                <w:rtl/>
              </w:rPr>
              <w:t>וכן</w:t>
            </w:r>
            <w:r w:rsidRPr="00D16407">
              <w:rPr>
                <w:rtl/>
              </w:rPr>
              <w:t xml:space="preserve"> </w:t>
            </w:r>
            <w:r w:rsidRPr="00D16407">
              <w:rPr>
                <w:rFonts w:hint="eastAsia"/>
                <w:rtl/>
              </w:rPr>
              <w:t>לא</w:t>
            </w:r>
            <w:r w:rsidRPr="00D16407">
              <w:rPr>
                <w:rtl/>
              </w:rPr>
              <w:t xml:space="preserve"> </w:t>
            </w:r>
            <w:r w:rsidRPr="00D16407">
              <w:rPr>
                <w:rFonts w:hint="eastAsia"/>
                <w:rtl/>
              </w:rPr>
              <w:t>תוגש</w:t>
            </w:r>
            <w:r w:rsidRPr="00D16407">
              <w:rPr>
                <w:rtl/>
              </w:rPr>
              <w:t xml:space="preserve"> </w:t>
            </w:r>
            <w:r w:rsidRPr="00D16407">
              <w:rPr>
                <w:rFonts w:hint="eastAsia"/>
                <w:rtl/>
              </w:rPr>
              <w:t>נגד</w:t>
            </w:r>
            <w:r w:rsidRPr="00D16407">
              <w:rPr>
                <w:rtl/>
              </w:rPr>
              <w:t xml:space="preserve"> </w:t>
            </w:r>
            <w:r w:rsidRPr="00D16407">
              <w:rPr>
                <w:rFonts w:hint="eastAsia"/>
                <w:rtl/>
              </w:rPr>
              <w:t>רשות</w:t>
            </w:r>
            <w:r w:rsidRPr="00D16407">
              <w:rPr>
                <w:rtl/>
              </w:rPr>
              <w:t xml:space="preserve"> </w:t>
            </w:r>
            <w:r w:rsidRPr="00D16407">
              <w:rPr>
                <w:rFonts w:hint="eastAsia"/>
                <w:rtl/>
              </w:rPr>
              <w:t>הודעת</w:t>
            </w:r>
            <w:r w:rsidRPr="00D16407">
              <w:rPr>
                <w:rtl/>
              </w:rPr>
              <w:t xml:space="preserve"> </w:t>
            </w:r>
            <w:r w:rsidRPr="00D16407">
              <w:rPr>
                <w:rFonts w:hint="eastAsia"/>
                <w:rtl/>
              </w:rPr>
              <w:t>צד</w:t>
            </w:r>
            <w:r w:rsidRPr="00D16407">
              <w:rPr>
                <w:rtl/>
              </w:rPr>
              <w:t xml:space="preserve"> </w:t>
            </w:r>
            <w:r w:rsidRPr="00D16407">
              <w:rPr>
                <w:rFonts w:hint="eastAsia"/>
                <w:rtl/>
              </w:rPr>
              <w:t>שלישי</w:t>
            </w:r>
            <w:r w:rsidRPr="00D16407">
              <w:rPr>
                <w:rtl/>
              </w:rPr>
              <w:t xml:space="preserve"> </w:t>
            </w:r>
            <w:r w:rsidRPr="00D16407">
              <w:rPr>
                <w:rFonts w:hint="eastAsia"/>
                <w:rtl/>
              </w:rPr>
              <w:t>בעניין</w:t>
            </w:r>
            <w:r w:rsidRPr="00D16407">
              <w:rPr>
                <w:rtl/>
              </w:rPr>
              <w:t xml:space="preserve"> </w:t>
            </w:r>
            <w:r w:rsidRPr="00D16407">
              <w:rPr>
                <w:rFonts w:hint="eastAsia"/>
                <w:rtl/>
              </w:rPr>
              <w:t>שבו</w:t>
            </w:r>
            <w:r w:rsidRPr="00D16407">
              <w:rPr>
                <w:rtl/>
              </w:rPr>
              <w:t xml:space="preserve"> </w:t>
            </w:r>
            <w:r w:rsidRPr="00D16407">
              <w:rPr>
                <w:rFonts w:hint="eastAsia"/>
                <w:rtl/>
              </w:rPr>
              <w:t>לא</w:t>
            </w:r>
            <w:r w:rsidRPr="00D16407">
              <w:rPr>
                <w:rtl/>
              </w:rPr>
              <w:t xml:space="preserve"> </w:t>
            </w:r>
            <w:r w:rsidRPr="00D16407">
              <w:rPr>
                <w:rFonts w:hint="eastAsia"/>
                <w:rtl/>
              </w:rPr>
              <w:t>ניתן</w:t>
            </w:r>
            <w:r w:rsidRPr="00D16407">
              <w:rPr>
                <w:rtl/>
              </w:rPr>
              <w:t xml:space="preserve"> </w:t>
            </w:r>
            <w:r w:rsidRPr="00D16407">
              <w:rPr>
                <w:rFonts w:hint="eastAsia"/>
                <w:rtl/>
              </w:rPr>
              <w:t>להגיש</w:t>
            </w:r>
            <w:r w:rsidRPr="00D16407">
              <w:rPr>
                <w:rtl/>
              </w:rPr>
              <w:t xml:space="preserve"> </w:t>
            </w:r>
            <w:r w:rsidRPr="00D16407">
              <w:rPr>
                <w:rFonts w:hint="eastAsia"/>
                <w:rtl/>
              </w:rPr>
              <w:t>תובענה</w:t>
            </w:r>
            <w:r w:rsidRPr="00D16407">
              <w:rPr>
                <w:rtl/>
              </w:rPr>
              <w:t xml:space="preserve"> </w:t>
            </w:r>
            <w:r w:rsidRPr="00D16407">
              <w:rPr>
                <w:rFonts w:hint="eastAsia"/>
                <w:rtl/>
              </w:rPr>
              <w:t>ייצוגית</w:t>
            </w:r>
            <w:r w:rsidRPr="00D16407">
              <w:rPr>
                <w:rtl/>
              </w:rPr>
              <w:t xml:space="preserve"> </w:t>
            </w:r>
            <w:r w:rsidRPr="00D16407">
              <w:rPr>
                <w:rFonts w:hint="eastAsia"/>
                <w:rtl/>
              </w:rPr>
              <w:t>נגדה</w:t>
            </w:r>
            <w:r w:rsidRPr="00D16407">
              <w:rPr>
                <w:rtl/>
              </w:rPr>
              <w:t>";</w:t>
            </w:r>
          </w:p>
        </w:tc>
      </w:tr>
      <w:tr w:rsidR="00B97B44" w14:paraId="5626799B" w14:textId="360EE97C">
        <w:trPr>
          <w:cantSplit/>
          <w:trHeight w:val="60"/>
        </w:trPr>
        <w:tc>
          <w:tcPr>
            <w:tcW w:w="1871" w:type="dxa"/>
          </w:tcPr>
          <w:p w14:paraId="3826D174" w14:textId="5A4E9962" w:rsidR="00B97B44" w:rsidRDefault="00B97B44">
            <w:pPr>
              <w:pStyle w:val="TableSideHeading"/>
            </w:pPr>
          </w:p>
        </w:tc>
        <w:tc>
          <w:tcPr>
            <w:tcW w:w="624" w:type="dxa"/>
          </w:tcPr>
          <w:p w14:paraId="443E266F" w14:textId="145F25DD" w:rsidR="00B97B44" w:rsidRDefault="00B97B44" w:rsidP="00B97B44">
            <w:pPr>
              <w:pStyle w:val="TableText"/>
            </w:pPr>
          </w:p>
        </w:tc>
        <w:tc>
          <w:tcPr>
            <w:tcW w:w="624" w:type="dxa"/>
          </w:tcPr>
          <w:p w14:paraId="1F553B41" w14:textId="213C39EC" w:rsidR="00B97B44" w:rsidRDefault="00B97B44">
            <w:pPr>
              <w:pStyle w:val="TableText"/>
            </w:pPr>
          </w:p>
        </w:tc>
        <w:tc>
          <w:tcPr>
            <w:tcW w:w="6522" w:type="dxa"/>
            <w:gridSpan w:val="5"/>
          </w:tcPr>
          <w:p w14:paraId="23CEF8AB" w14:textId="35771FE2" w:rsidR="00B97B44" w:rsidRDefault="00B97B44" w:rsidP="00C57EB2">
            <w:pPr>
              <w:pStyle w:val="TableBlock"/>
              <w:numPr>
                <w:ilvl w:val="0"/>
                <w:numId w:val="30"/>
              </w:numPr>
              <w:tabs>
                <w:tab w:val="left" w:pos="624"/>
              </w:tabs>
              <w:rPr>
                <w:rtl/>
              </w:rPr>
            </w:pPr>
            <w:r>
              <w:rPr>
                <w:rFonts w:hint="cs"/>
                <w:rtl/>
              </w:rPr>
              <w:t>אחרי סעיף קטן (א) יבוא:</w:t>
            </w:r>
          </w:p>
        </w:tc>
      </w:tr>
      <w:tr w:rsidR="00B97B44" w14:paraId="23C3003A" w14:textId="7BAB7501">
        <w:trPr>
          <w:cantSplit/>
          <w:trHeight w:val="60"/>
        </w:trPr>
        <w:tc>
          <w:tcPr>
            <w:tcW w:w="1871" w:type="dxa"/>
          </w:tcPr>
          <w:p w14:paraId="7BF95B59" w14:textId="751FFF5A" w:rsidR="00B97B44" w:rsidRDefault="00B97B44">
            <w:pPr>
              <w:pStyle w:val="TableSideHeading"/>
            </w:pPr>
          </w:p>
        </w:tc>
        <w:tc>
          <w:tcPr>
            <w:tcW w:w="624" w:type="dxa"/>
          </w:tcPr>
          <w:p w14:paraId="283265D6" w14:textId="67942092" w:rsidR="00B97B44" w:rsidRDefault="00B97B44">
            <w:pPr>
              <w:pStyle w:val="TableText"/>
            </w:pPr>
          </w:p>
        </w:tc>
        <w:tc>
          <w:tcPr>
            <w:tcW w:w="624" w:type="dxa"/>
          </w:tcPr>
          <w:p w14:paraId="30798A00" w14:textId="38B26B10" w:rsidR="00B97B44" w:rsidRDefault="00B97B44">
            <w:pPr>
              <w:pStyle w:val="TableText"/>
            </w:pPr>
          </w:p>
        </w:tc>
        <w:tc>
          <w:tcPr>
            <w:tcW w:w="624" w:type="dxa"/>
          </w:tcPr>
          <w:p w14:paraId="41AFF1E0" w14:textId="2FC21F7A" w:rsidR="00B97B44" w:rsidRDefault="00B97B44">
            <w:pPr>
              <w:pStyle w:val="TableText"/>
            </w:pPr>
          </w:p>
        </w:tc>
        <w:tc>
          <w:tcPr>
            <w:tcW w:w="5898" w:type="dxa"/>
            <w:gridSpan w:val="4"/>
          </w:tcPr>
          <w:p w14:paraId="15DEE9FB" w14:textId="72B596DE" w:rsidR="00B97B44" w:rsidRDefault="00B97B44">
            <w:pPr>
              <w:pStyle w:val="TableBlock"/>
            </w:pPr>
            <w:r>
              <w:rPr>
                <w:rFonts w:hint="cs"/>
                <w:rtl/>
              </w:rPr>
              <w:t xml:space="preserve">"(א1) </w:t>
            </w:r>
            <w:r w:rsidRPr="00406DAD">
              <w:rPr>
                <w:rFonts w:hint="cs"/>
                <w:rtl/>
              </w:rPr>
              <w:t>הוגשה תובענה ייצוגית לפי סעיף קטן (א)</w:t>
            </w:r>
            <w:r w:rsidR="009117CC">
              <w:rPr>
                <w:rFonts w:hint="cs"/>
                <w:rtl/>
              </w:rPr>
              <w:t xml:space="preserve"> נגד עסק זעיר</w:t>
            </w:r>
            <w:r w:rsidRPr="00406DAD">
              <w:rPr>
                <w:rFonts w:hint="cs"/>
                <w:rtl/>
              </w:rPr>
              <w:t xml:space="preserve"> והיא מנויה בתוספת הרביעית לחוק, תהיה התובענה הייצוגית לצו עשה, צו מניעה או סעד הצהרתי</w:t>
            </w:r>
            <w:r>
              <w:rPr>
                <w:rFonts w:hint="cs"/>
                <w:rtl/>
              </w:rPr>
              <w:t xml:space="preserve"> בלבד (בחוק זה </w:t>
            </w:r>
            <w:r>
              <w:rPr>
                <w:rtl/>
              </w:rPr>
              <w:t>–</w:t>
            </w:r>
            <w:r>
              <w:rPr>
                <w:rFonts w:hint="cs"/>
                <w:rtl/>
              </w:rPr>
              <w:t xml:space="preserve"> </w:t>
            </w:r>
            <w:r w:rsidR="005C7C81" w:rsidRPr="00340E90">
              <w:rPr>
                <w:rFonts w:hint="cs"/>
                <w:rtl/>
              </w:rPr>
              <w:t xml:space="preserve">תובענה </w:t>
            </w:r>
            <w:r w:rsidR="00340E90" w:rsidRPr="00340E90">
              <w:rPr>
                <w:rFonts w:hint="cs"/>
                <w:rtl/>
              </w:rPr>
              <w:t>בהל</w:t>
            </w:r>
            <w:r w:rsidR="00340E90">
              <w:rPr>
                <w:rFonts w:hint="cs"/>
                <w:rtl/>
              </w:rPr>
              <w:t>יך מותאם</w:t>
            </w:r>
            <w:r w:rsidR="005F275A">
              <w:rPr>
                <w:rFonts w:hint="cs"/>
                <w:rtl/>
              </w:rPr>
              <w:t>)</w:t>
            </w:r>
            <w:r w:rsidR="00F908E0">
              <w:rPr>
                <w:rFonts w:hint="cs"/>
                <w:rtl/>
              </w:rPr>
              <w:t>".</w:t>
            </w:r>
          </w:p>
        </w:tc>
      </w:tr>
      <w:tr w:rsidR="00072832" w14:paraId="433C2B7E" w14:textId="77777777">
        <w:trPr>
          <w:cantSplit/>
          <w:trHeight w:val="60"/>
        </w:trPr>
        <w:tc>
          <w:tcPr>
            <w:tcW w:w="1871" w:type="dxa"/>
          </w:tcPr>
          <w:p w14:paraId="743EC366" w14:textId="689D99D9" w:rsidR="00072832" w:rsidRDefault="00461C1F" w:rsidP="007E751D">
            <w:pPr>
              <w:pStyle w:val="TableSideHeading"/>
              <w:keepLines w:val="0"/>
            </w:pPr>
            <w:r>
              <w:rPr>
                <w:rFonts w:hint="cs"/>
                <w:rtl/>
              </w:rPr>
              <w:t>הוראת שעה</w:t>
            </w:r>
          </w:p>
        </w:tc>
        <w:tc>
          <w:tcPr>
            <w:tcW w:w="624" w:type="dxa"/>
          </w:tcPr>
          <w:p w14:paraId="26DB0F2D" w14:textId="77777777" w:rsidR="00072832" w:rsidRDefault="00072832" w:rsidP="00461E2C">
            <w:pPr>
              <w:pStyle w:val="TableText"/>
              <w:keepLines w:val="0"/>
              <w:numPr>
                <w:ilvl w:val="0"/>
                <w:numId w:val="2"/>
              </w:numPr>
            </w:pPr>
          </w:p>
        </w:tc>
        <w:tc>
          <w:tcPr>
            <w:tcW w:w="7146" w:type="dxa"/>
            <w:gridSpan w:val="6"/>
          </w:tcPr>
          <w:p w14:paraId="3CE1F336" w14:textId="7E20985B" w:rsidR="00072832" w:rsidRPr="00C34DE2" w:rsidRDefault="00072832" w:rsidP="00BE1259">
            <w:pPr>
              <w:pStyle w:val="TableBlock"/>
              <w:tabs>
                <w:tab w:val="clear" w:pos="624"/>
              </w:tabs>
            </w:pPr>
            <w:r>
              <w:rPr>
                <w:rFonts w:hint="cs"/>
                <w:rtl/>
              </w:rPr>
              <w:t>אחרי סעיף</w:t>
            </w:r>
            <w:r w:rsidR="006B3CB1">
              <w:rPr>
                <w:rFonts w:hint="cs"/>
                <w:rtl/>
              </w:rPr>
              <w:t xml:space="preserve"> 3</w:t>
            </w:r>
            <w:r>
              <w:rPr>
                <w:rFonts w:hint="cs"/>
                <w:rtl/>
              </w:rPr>
              <w:t xml:space="preserve"> </w:t>
            </w:r>
            <w:r w:rsidR="00BE1259">
              <w:rPr>
                <w:rFonts w:hint="cs"/>
                <w:rtl/>
              </w:rPr>
              <w:t xml:space="preserve">לחוק העיקרי </w:t>
            </w:r>
            <w:r>
              <w:rPr>
                <w:rFonts w:hint="cs"/>
                <w:rtl/>
              </w:rPr>
              <w:t>יבוא:</w:t>
            </w:r>
          </w:p>
        </w:tc>
      </w:tr>
      <w:tr w:rsidR="00072832" w14:paraId="1F1D38A2" w14:textId="77777777">
        <w:trPr>
          <w:cantSplit/>
          <w:trHeight w:val="60"/>
        </w:trPr>
        <w:tc>
          <w:tcPr>
            <w:tcW w:w="1871" w:type="dxa"/>
          </w:tcPr>
          <w:p w14:paraId="1C320392" w14:textId="3DF15F57" w:rsidR="00024D74" w:rsidRDefault="00024D74" w:rsidP="001B78A4">
            <w:pPr>
              <w:pStyle w:val="TableSideHeading"/>
              <w:keepLines w:val="0"/>
              <w:ind w:left="408"/>
            </w:pPr>
          </w:p>
        </w:tc>
        <w:tc>
          <w:tcPr>
            <w:tcW w:w="624" w:type="dxa"/>
          </w:tcPr>
          <w:p w14:paraId="45BFAC90" w14:textId="77777777" w:rsidR="00072832" w:rsidRDefault="00072832">
            <w:pPr>
              <w:pStyle w:val="TableText"/>
              <w:keepLines w:val="0"/>
            </w:pPr>
          </w:p>
        </w:tc>
        <w:tc>
          <w:tcPr>
            <w:tcW w:w="1872" w:type="dxa"/>
            <w:gridSpan w:val="3"/>
          </w:tcPr>
          <w:p w14:paraId="654BF6D0" w14:textId="149FD516" w:rsidR="00072832" w:rsidRDefault="00072832">
            <w:pPr>
              <w:pStyle w:val="TableInnerSideHeading"/>
            </w:pPr>
            <w:r>
              <w:rPr>
                <w:rFonts w:hint="cs"/>
                <w:rtl/>
              </w:rPr>
              <w:t>"עריכת פניה מוקדמת</w:t>
            </w:r>
            <w:r w:rsidR="00AD3CDE">
              <w:rPr>
                <w:rFonts w:hint="cs"/>
                <w:rtl/>
              </w:rPr>
              <w:t xml:space="preserve"> כללית</w:t>
            </w:r>
            <w:r>
              <w:rPr>
                <w:rFonts w:hint="cs"/>
                <w:rtl/>
              </w:rPr>
              <w:t xml:space="preserve"> </w:t>
            </w:r>
            <w:r>
              <w:rPr>
                <w:rtl/>
              </w:rPr>
              <w:t>–</w:t>
            </w:r>
            <w:r>
              <w:rPr>
                <w:rFonts w:hint="cs"/>
                <w:rtl/>
              </w:rPr>
              <w:t xml:space="preserve"> הוראת שעה</w:t>
            </w:r>
          </w:p>
        </w:tc>
        <w:tc>
          <w:tcPr>
            <w:tcW w:w="624" w:type="dxa"/>
          </w:tcPr>
          <w:p w14:paraId="2E4875FC" w14:textId="38BAA729" w:rsidR="00072832" w:rsidRDefault="00072832">
            <w:pPr>
              <w:pStyle w:val="TableText"/>
            </w:pPr>
            <w:r>
              <w:rPr>
                <w:rFonts w:hint="cs"/>
                <w:rtl/>
              </w:rPr>
              <w:t>3א</w:t>
            </w:r>
          </w:p>
        </w:tc>
        <w:tc>
          <w:tcPr>
            <w:tcW w:w="4650" w:type="dxa"/>
            <w:gridSpan w:val="2"/>
          </w:tcPr>
          <w:p w14:paraId="2CE31805" w14:textId="1906B036" w:rsidR="00072832" w:rsidRPr="00072832" w:rsidRDefault="001E6366" w:rsidP="00263843">
            <w:pPr>
              <w:pStyle w:val="TableBlock"/>
              <w:numPr>
                <w:ilvl w:val="0"/>
                <w:numId w:val="44"/>
              </w:numPr>
              <w:tabs>
                <w:tab w:val="left" w:pos="624"/>
              </w:tabs>
            </w:pPr>
            <w:r>
              <w:rPr>
                <w:rFonts w:hint="cs"/>
                <w:rtl/>
              </w:rPr>
              <w:t xml:space="preserve">לא תוגש </w:t>
            </w:r>
            <w:r w:rsidRPr="00072832">
              <w:rPr>
                <w:rFonts w:hint="cs"/>
                <w:snapToGrid/>
                <w:rtl/>
              </w:rPr>
              <w:t xml:space="preserve">תובענה </w:t>
            </w:r>
            <w:r w:rsidR="00340E90">
              <w:rPr>
                <w:rFonts w:hint="cs"/>
                <w:snapToGrid/>
                <w:rtl/>
              </w:rPr>
              <w:t>בהליך מותאם</w:t>
            </w:r>
            <w:r w:rsidR="005C7C81">
              <w:rPr>
                <w:rFonts w:hint="cs"/>
                <w:snapToGrid/>
                <w:rtl/>
              </w:rPr>
              <w:t xml:space="preserve"> </w:t>
            </w:r>
            <w:r w:rsidRPr="00072832">
              <w:rPr>
                <w:rFonts w:hint="cs"/>
                <w:snapToGrid/>
                <w:rtl/>
              </w:rPr>
              <w:t xml:space="preserve">או תובענה </w:t>
            </w:r>
            <w:r>
              <w:rPr>
                <w:rFonts w:hint="cs"/>
                <w:snapToGrid/>
                <w:rtl/>
              </w:rPr>
              <w:t>לצו עשה</w:t>
            </w:r>
            <w:r w:rsidRPr="00072832">
              <w:rPr>
                <w:rFonts w:hint="cs"/>
                <w:snapToGrid/>
                <w:rtl/>
              </w:rPr>
              <w:t>,</w:t>
            </w:r>
            <w:r w:rsidR="009F5859">
              <w:rPr>
                <w:rFonts w:hint="cs"/>
                <w:snapToGrid/>
                <w:rtl/>
              </w:rPr>
              <w:t xml:space="preserve"> </w:t>
            </w:r>
            <w:r w:rsidR="005C7C81">
              <w:rPr>
                <w:rFonts w:hint="cs"/>
                <w:snapToGrid/>
                <w:rtl/>
              </w:rPr>
              <w:t xml:space="preserve">צו מניעה או סעד הצהרתי בלבד (בחוק זה </w:t>
            </w:r>
            <w:r w:rsidR="005C7C81">
              <w:rPr>
                <w:snapToGrid/>
                <w:rtl/>
              </w:rPr>
              <w:t>–</w:t>
            </w:r>
            <w:r w:rsidR="005C7C81">
              <w:rPr>
                <w:rFonts w:hint="cs"/>
                <w:snapToGrid/>
                <w:rtl/>
              </w:rPr>
              <w:t xml:space="preserve"> תובענה לצו עשה)</w:t>
            </w:r>
            <w:r w:rsidRPr="00072832">
              <w:rPr>
                <w:rFonts w:hint="cs"/>
                <w:snapToGrid/>
                <w:rtl/>
              </w:rPr>
              <w:t xml:space="preserve"> </w:t>
            </w:r>
            <w:r w:rsidR="00714BC1">
              <w:rPr>
                <w:rFonts w:hint="cs"/>
                <w:snapToGrid/>
                <w:rtl/>
              </w:rPr>
              <w:t xml:space="preserve">או תובענה נגד עסק קטן או בינוני בעילה המנויה בתוספת הרביעית לחוק </w:t>
            </w:r>
            <w:r w:rsidRPr="00072832">
              <w:rPr>
                <w:rFonts w:hint="cs"/>
                <w:snapToGrid/>
                <w:rtl/>
              </w:rPr>
              <w:t xml:space="preserve">אלא אם שלח הפונה לנתבע הודעה הדורשת ממנו לתקן את הפרת הדין שהוא טוען לקיומה והנתבע לא תיקן את ההפרה בתוך 60 ימים מיום קבלת ההודעה </w:t>
            </w:r>
            <w:r w:rsidRPr="00327B9A">
              <w:rPr>
                <w:rFonts w:hint="cs"/>
                <w:rtl/>
              </w:rPr>
              <w:t xml:space="preserve">(בסעיף זה </w:t>
            </w:r>
            <w:r w:rsidRPr="00327B9A">
              <w:rPr>
                <w:rtl/>
              </w:rPr>
              <w:t>–</w:t>
            </w:r>
            <w:r w:rsidRPr="00327B9A">
              <w:rPr>
                <w:rFonts w:hint="cs"/>
                <w:rtl/>
              </w:rPr>
              <w:t xml:space="preserve"> המועד הקובע); בטרם</w:t>
            </w:r>
            <w:r>
              <w:rPr>
                <w:rFonts w:hint="cs"/>
                <w:rtl/>
              </w:rPr>
              <w:t xml:space="preserve"> תוגש כאמור יש</w:t>
            </w:r>
            <w:r w:rsidR="00024D74">
              <w:rPr>
                <w:rFonts w:hint="cs"/>
                <w:rtl/>
              </w:rPr>
              <w:t>לם הפונה</w:t>
            </w:r>
            <w:r>
              <w:rPr>
                <w:rFonts w:hint="cs"/>
                <w:rtl/>
              </w:rPr>
              <w:t xml:space="preserve"> </w:t>
            </w:r>
            <w:r w:rsidR="00B27564">
              <w:rPr>
                <w:rFonts w:hint="cs"/>
                <w:rtl/>
              </w:rPr>
              <w:t>אגרה</w:t>
            </w:r>
            <w:r>
              <w:rPr>
                <w:rFonts w:hint="cs"/>
                <w:rtl/>
              </w:rPr>
              <w:t xml:space="preserve"> בשיעור כמפורט </w:t>
            </w:r>
            <w:r w:rsidR="001B78A4">
              <w:rPr>
                <w:rFonts w:hint="cs"/>
                <w:rtl/>
              </w:rPr>
              <w:t>בתקנות.</w:t>
            </w:r>
          </w:p>
        </w:tc>
      </w:tr>
      <w:tr w:rsidR="009B539F" w14:paraId="23F3F547" w14:textId="77777777">
        <w:trPr>
          <w:cantSplit/>
          <w:trHeight w:val="60"/>
        </w:trPr>
        <w:tc>
          <w:tcPr>
            <w:tcW w:w="1871" w:type="dxa"/>
          </w:tcPr>
          <w:p w14:paraId="53DBC1F1" w14:textId="77777777" w:rsidR="009B539F" w:rsidRDefault="009B539F">
            <w:pPr>
              <w:pStyle w:val="TableSideHeading"/>
            </w:pPr>
            <w:bookmarkStart w:id="4" w:name="_Hlk163991415"/>
          </w:p>
        </w:tc>
        <w:tc>
          <w:tcPr>
            <w:tcW w:w="624" w:type="dxa"/>
          </w:tcPr>
          <w:p w14:paraId="30AC2B52" w14:textId="77777777" w:rsidR="009B539F" w:rsidRDefault="009B539F">
            <w:pPr>
              <w:pStyle w:val="TableText"/>
            </w:pPr>
          </w:p>
        </w:tc>
        <w:tc>
          <w:tcPr>
            <w:tcW w:w="624" w:type="dxa"/>
          </w:tcPr>
          <w:p w14:paraId="5806AA6D" w14:textId="77777777" w:rsidR="009B539F" w:rsidRDefault="009B539F">
            <w:pPr>
              <w:pStyle w:val="TableText"/>
            </w:pPr>
          </w:p>
        </w:tc>
        <w:tc>
          <w:tcPr>
            <w:tcW w:w="624" w:type="dxa"/>
          </w:tcPr>
          <w:p w14:paraId="12C4F5EF" w14:textId="77777777" w:rsidR="009B539F" w:rsidRDefault="009B539F">
            <w:pPr>
              <w:pStyle w:val="TableText"/>
            </w:pPr>
          </w:p>
        </w:tc>
        <w:tc>
          <w:tcPr>
            <w:tcW w:w="624" w:type="dxa"/>
          </w:tcPr>
          <w:p w14:paraId="291B9F9A" w14:textId="77777777" w:rsidR="009B539F" w:rsidRDefault="009B539F">
            <w:pPr>
              <w:pStyle w:val="TableText"/>
            </w:pPr>
          </w:p>
        </w:tc>
        <w:tc>
          <w:tcPr>
            <w:tcW w:w="624" w:type="dxa"/>
          </w:tcPr>
          <w:p w14:paraId="23C69F41" w14:textId="77777777" w:rsidR="009B539F" w:rsidRDefault="009B539F">
            <w:pPr>
              <w:pStyle w:val="TableText"/>
            </w:pPr>
          </w:p>
        </w:tc>
        <w:tc>
          <w:tcPr>
            <w:tcW w:w="4650" w:type="dxa"/>
            <w:gridSpan w:val="2"/>
          </w:tcPr>
          <w:p w14:paraId="15D83EF5" w14:textId="49AC13A0" w:rsidR="009B539F" w:rsidRDefault="009B539F" w:rsidP="00263843">
            <w:pPr>
              <w:pStyle w:val="TableBlock"/>
              <w:numPr>
                <w:ilvl w:val="0"/>
                <w:numId w:val="44"/>
              </w:numPr>
              <w:tabs>
                <w:tab w:val="left" w:pos="624"/>
              </w:tabs>
            </w:pPr>
            <w:r>
              <w:rPr>
                <w:rFonts w:hint="cs"/>
                <w:rtl/>
              </w:rPr>
              <w:t>לא</w:t>
            </w:r>
            <w:r w:rsidR="00AB2AAA">
              <w:rPr>
                <w:rFonts w:hint="cs"/>
                <w:rtl/>
              </w:rPr>
              <w:t xml:space="preserve"> </w:t>
            </w:r>
            <w:r>
              <w:rPr>
                <w:rFonts w:hint="cs"/>
                <w:rtl/>
              </w:rPr>
              <w:t xml:space="preserve">תוגש תובענה כנגד עסק </w:t>
            </w:r>
            <w:r w:rsidR="00BE1259">
              <w:rPr>
                <w:rFonts w:hint="cs"/>
                <w:rtl/>
              </w:rPr>
              <w:t>זעיר</w:t>
            </w:r>
            <w:r>
              <w:rPr>
                <w:rFonts w:hint="cs"/>
                <w:rtl/>
              </w:rPr>
              <w:t>, אלא לאחר שחלף המועד הקובע</w:t>
            </w:r>
            <w:r w:rsidRPr="00263843">
              <w:rPr>
                <w:rFonts w:hint="cs"/>
                <w:rtl/>
              </w:rPr>
              <w:t xml:space="preserve"> מיום</w:t>
            </w:r>
            <w:r w:rsidRPr="00263843">
              <w:rPr>
                <w:rFonts w:hint="cs"/>
              </w:rPr>
              <w:t xml:space="preserve"> </w:t>
            </w:r>
            <w:r w:rsidRPr="00263843">
              <w:rPr>
                <w:rFonts w:hint="cs"/>
                <w:rtl/>
              </w:rPr>
              <w:t xml:space="preserve">ששלח הפונה לנתבע הודעה הדורשת ממנו לתקן את הפרת הדין שהוא טוען לקיומה; </w:t>
            </w:r>
            <w:r w:rsidR="00386A08" w:rsidRPr="00263843">
              <w:rPr>
                <w:rFonts w:hint="cs"/>
                <w:rtl/>
              </w:rPr>
              <w:t xml:space="preserve">בטרם תוגש </w:t>
            </w:r>
            <w:r w:rsidRPr="00263843">
              <w:rPr>
                <w:rFonts w:hint="eastAsia"/>
                <w:rtl/>
              </w:rPr>
              <w:t>פניה</w:t>
            </w:r>
            <w:r w:rsidRPr="00263843">
              <w:rPr>
                <w:rtl/>
              </w:rPr>
              <w:t xml:space="preserve"> </w:t>
            </w:r>
            <w:r w:rsidRPr="00263843">
              <w:rPr>
                <w:rFonts w:hint="eastAsia"/>
                <w:rtl/>
              </w:rPr>
              <w:t>כאמור</w:t>
            </w:r>
            <w:r w:rsidRPr="00263843">
              <w:rPr>
                <w:rtl/>
              </w:rPr>
              <w:t xml:space="preserve"> </w:t>
            </w:r>
            <w:r w:rsidRPr="00263843">
              <w:rPr>
                <w:rFonts w:hint="eastAsia"/>
                <w:rtl/>
              </w:rPr>
              <w:t>ישלם</w:t>
            </w:r>
            <w:r w:rsidRPr="00263843">
              <w:rPr>
                <w:rtl/>
              </w:rPr>
              <w:t xml:space="preserve"> </w:t>
            </w:r>
            <w:r w:rsidRPr="00263843">
              <w:rPr>
                <w:rFonts w:hint="eastAsia"/>
                <w:rtl/>
              </w:rPr>
              <w:t>הפונה</w:t>
            </w:r>
            <w:r w:rsidRPr="00263843">
              <w:rPr>
                <w:rtl/>
              </w:rPr>
              <w:t xml:space="preserve"> </w:t>
            </w:r>
            <w:r w:rsidR="00E8302E" w:rsidRPr="00263843">
              <w:rPr>
                <w:rFonts w:hint="cs"/>
                <w:rtl/>
              </w:rPr>
              <w:t>אגרה</w:t>
            </w:r>
            <w:r w:rsidR="00E8302E" w:rsidRPr="00263843">
              <w:rPr>
                <w:rtl/>
              </w:rPr>
              <w:t xml:space="preserve"> </w:t>
            </w:r>
            <w:r w:rsidRPr="00263843">
              <w:rPr>
                <w:rFonts w:hint="eastAsia"/>
                <w:rtl/>
              </w:rPr>
              <w:t>בשיעור</w:t>
            </w:r>
            <w:r w:rsidRPr="00263843">
              <w:rPr>
                <w:rtl/>
              </w:rPr>
              <w:t xml:space="preserve"> </w:t>
            </w:r>
            <w:r w:rsidRPr="00263843">
              <w:rPr>
                <w:rFonts w:hint="eastAsia"/>
                <w:rtl/>
              </w:rPr>
              <w:t>כמפורט</w:t>
            </w:r>
            <w:r w:rsidRPr="00263843">
              <w:rPr>
                <w:rtl/>
              </w:rPr>
              <w:t xml:space="preserve"> </w:t>
            </w:r>
            <w:r w:rsidRPr="00263843">
              <w:rPr>
                <w:rFonts w:hint="eastAsia"/>
                <w:rtl/>
              </w:rPr>
              <w:t>בתקנות</w:t>
            </w:r>
            <w:r w:rsidRPr="00263843">
              <w:rPr>
                <w:rtl/>
              </w:rPr>
              <w:t>;</w:t>
            </w:r>
          </w:p>
        </w:tc>
      </w:tr>
      <w:tr w:rsidR="00257173" w14:paraId="6DB85A79" w14:textId="77777777">
        <w:trPr>
          <w:cantSplit/>
          <w:trHeight w:val="60"/>
        </w:trPr>
        <w:tc>
          <w:tcPr>
            <w:tcW w:w="1871" w:type="dxa"/>
          </w:tcPr>
          <w:p w14:paraId="403A3F96" w14:textId="6ECB3F9F" w:rsidR="00257173" w:rsidRPr="00532F07" w:rsidRDefault="00257173" w:rsidP="001B78A4">
            <w:pPr>
              <w:pStyle w:val="TableSideHeading"/>
              <w:ind w:left="408"/>
              <w:rPr>
                <w:sz w:val="14"/>
                <w:szCs w:val="20"/>
                <w:highlight w:val="cyan"/>
                <w:rtl/>
              </w:rPr>
            </w:pPr>
          </w:p>
        </w:tc>
        <w:tc>
          <w:tcPr>
            <w:tcW w:w="624" w:type="dxa"/>
          </w:tcPr>
          <w:p w14:paraId="15A6255A" w14:textId="77777777" w:rsidR="00257173" w:rsidRDefault="00257173" w:rsidP="00257173">
            <w:pPr>
              <w:pStyle w:val="TableText"/>
            </w:pPr>
          </w:p>
        </w:tc>
        <w:tc>
          <w:tcPr>
            <w:tcW w:w="624" w:type="dxa"/>
          </w:tcPr>
          <w:p w14:paraId="21F3A897" w14:textId="77777777" w:rsidR="00257173" w:rsidRDefault="00257173">
            <w:pPr>
              <w:pStyle w:val="TableText"/>
            </w:pPr>
          </w:p>
        </w:tc>
        <w:tc>
          <w:tcPr>
            <w:tcW w:w="624" w:type="dxa"/>
          </w:tcPr>
          <w:p w14:paraId="1B9779DB" w14:textId="77777777" w:rsidR="00257173" w:rsidRDefault="00257173">
            <w:pPr>
              <w:pStyle w:val="TableText"/>
            </w:pPr>
          </w:p>
        </w:tc>
        <w:tc>
          <w:tcPr>
            <w:tcW w:w="624" w:type="dxa"/>
          </w:tcPr>
          <w:p w14:paraId="1D2A8799" w14:textId="77777777" w:rsidR="00257173" w:rsidRDefault="00257173">
            <w:pPr>
              <w:pStyle w:val="TableText"/>
            </w:pPr>
          </w:p>
        </w:tc>
        <w:tc>
          <w:tcPr>
            <w:tcW w:w="624" w:type="dxa"/>
          </w:tcPr>
          <w:p w14:paraId="03A0C58A" w14:textId="77777777" w:rsidR="00257173" w:rsidRDefault="00257173">
            <w:pPr>
              <w:pStyle w:val="TableText"/>
            </w:pPr>
          </w:p>
        </w:tc>
        <w:tc>
          <w:tcPr>
            <w:tcW w:w="4650" w:type="dxa"/>
            <w:gridSpan w:val="2"/>
          </w:tcPr>
          <w:p w14:paraId="49C6E126" w14:textId="1BB209AA" w:rsidR="00574CF1" w:rsidRDefault="00257173" w:rsidP="00263843">
            <w:pPr>
              <w:pStyle w:val="TableBlock"/>
              <w:numPr>
                <w:ilvl w:val="0"/>
                <w:numId w:val="44"/>
              </w:numPr>
              <w:tabs>
                <w:tab w:val="left" w:pos="624"/>
              </w:tabs>
              <w:rPr>
                <w:rtl/>
              </w:rPr>
            </w:pPr>
            <w:r>
              <w:rPr>
                <w:rFonts w:hint="cs"/>
                <w:rtl/>
              </w:rPr>
              <w:t xml:space="preserve">תיקן </w:t>
            </w:r>
            <w:r w:rsidRPr="00406DAD">
              <w:rPr>
                <w:rFonts w:hint="cs"/>
                <w:rtl/>
              </w:rPr>
              <w:t xml:space="preserve">הנתבע את ההפרה במועד הקובע, ישלם הנתבע לפונה תגמול בשיעור כמפורט </w:t>
            </w:r>
            <w:r w:rsidR="00327B9A" w:rsidRPr="00406DAD">
              <w:rPr>
                <w:rFonts w:hint="cs"/>
                <w:rtl/>
              </w:rPr>
              <w:t xml:space="preserve">בפרט </w:t>
            </w:r>
            <w:r w:rsidR="003E4B79" w:rsidRPr="00406DAD">
              <w:rPr>
                <w:rFonts w:hint="cs"/>
                <w:rtl/>
              </w:rPr>
              <w:t>1</w:t>
            </w:r>
            <w:r w:rsidR="00327B9A" w:rsidRPr="00406DAD">
              <w:rPr>
                <w:rFonts w:hint="cs"/>
                <w:rtl/>
              </w:rPr>
              <w:t xml:space="preserve"> ל</w:t>
            </w:r>
            <w:r w:rsidRPr="00406DAD">
              <w:rPr>
                <w:rFonts w:hint="cs"/>
                <w:rtl/>
              </w:rPr>
              <w:t>תוספת החמישית לחוק;</w:t>
            </w:r>
            <w:r>
              <w:rPr>
                <w:rFonts w:hint="cs"/>
                <w:rtl/>
              </w:rPr>
              <w:t xml:space="preserve"> </w:t>
            </w:r>
          </w:p>
        </w:tc>
      </w:tr>
      <w:tr w:rsidR="001E05C1" w14:paraId="4A1F1562" w14:textId="77777777">
        <w:trPr>
          <w:cantSplit/>
          <w:trHeight w:val="60"/>
        </w:trPr>
        <w:tc>
          <w:tcPr>
            <w:tcW w:w="1871" w:type="dxa"/>
          </w:tcPr>
          <w:p w14:paraId="71C7AEE6" w14:textId="77777777" w:rsidR="001E05C1" w:rsidRPr="00532F07" w:rsidRDefault="001E05C1" w:rsidP="001B78A4">
            <w:pPr>
              <w:pStyle w:val="TableSideHeading"/>
              <w:ind w:left="408"/>
              <w:rPr>
                <w:sz w:val="14"/>
                <w:szCs w:val="20"/>
                <w:highlight w:val="cyan"/>
                <w:rtl/>
              </w:rPr>
            </w:pPr>
          </w:p>
        </w:tc>
        <w:tc>
          <w:tcPr>
            <w:tcW w:w="624" w:type="dxa"/>
          </w:tcPr>
          <w:p w14:paraId="148D92C9" w14:textId="77777777" w:rsidR="001E05C1" w:rsidRDefault="001E05C1" w:rsidP="001E05C1">
            <w:pPr>
              <w:pStyle w:val="TableText"/>
            </w:pPr>
          </w:p>
        </w:tc>
        <w:tc>
          <w:tcPr>
            <w:tcW w:w="624" w:type="dxa"/>
          </w:tcPr>
          <w:p w14:paraId="1644EBC9" w14:textId="77777777" w:rsidR="001E05C1" w:rsidRDefault="001E05C1">
            <w:pPr>
              <w:pStyle w:val="TableText"/>
            </w:pPr>
          </w:p>
        </w:tc>
        <w:tc>
          <w:tcPr>
            <w:tcW w:w="624" w:type="dxa"/>
          </w:tcPr>
          <w:p w14:paraId="6D162B6C" w14:textId="77777777" w:rsidR="001E05C1" w:rsidRDefault="001E05C1">
            <w:pPr>
              <w:pStyle w:val="TableText"/>
            </w:pPr>
          </w:p>
        </w:tc>
        <w:tc>
          <w:tcPr>
            <w:tcW w:w="624" w:type="dxa"/>
          </w:tcPr>
          <w:p w14:paraId="068CD14A" w14:textId="77777777" w:rsidR="001E05C1" w:rsidRDefault="001E05C1">
            <w:pPr>
              <w:pStyle w:val="TableText"/>
            </w:pPr>
          </w:p>
        </w:tc>
        <w:tc>
          <w:tcPr>
            <w:tcW w:w="624" w:type="dxa"/>
          </w:tcPr>
          <w:p w14:paraId="6345AB85" w14:textId="77777777" w:rsidR="001E05C1" w:rsidRDefault="001E05C1">
            <w:pPr>
              <w:pStyle w:val="TableText"/>
            </w:pPr>
          </w:p>
        </w:tc>
        <w:tc>
          <w:tcPr>
            <w:tcW w:w="4650" w:type="dxa"/>
            <w:gridSpan w:val="2"/>
          </w:tcPr>
          <w:p w14:paraId="02D1EA88" w14:textId="5B4A3D49" w:rsidR="001E05C1" w:rsidRDefault="001E05C1" w:rsidP="00263843">
            <w:pPr>
              <w:pStyle w:val="TableBlock"/>
              <w:numPr>
                <w:ilvl w:val="0"/>
                <w:numId w:val="44"/>
              </w:numPr>
              <w:tabs>
                <w:tab w:val="left" w:pos="624"/>
              </w:tabs>
              <w:rPr>
                <w:rtl/>
              </w:rPr>
            </w:pPr>
            <w:r>
              <w:rPr>
                <w:rFonts w:hint="cs"/>
                <w:rtl/>
              </w:rPr>
              <w:t xml:space="preserve">הודעה על הפניה המוקדמת והמענה לה </w:t>
            </w:r>
            <w:r w:rsidR="001E5685">
              <w:rPr>
                <w:rFonts w:hint="cs"/>
                <w:rtl/>
              </w:rPr>
              <w:t>ת</w:t>
            </w:r>
            <w:r>
              <w:rPr>
                <w:rFonts w:hint="cs"/>
                <w:rtl/>
              </w:rPr>
              <w:t>פורסם לאחר המועד הקובע</w:t>
            </w:r>
            <w:r w:rsidR="00376AB8">
              <w:rPr>
                <w:rFonts w:hint="cs"/>
                <w:rtl/>
              </w:rPr>
              <w:t>; הודעה כאמור לא תשמש ראיה להודיית הנתבע בהליך אזרחי;</w:t>
            </w:r>
          </w:p>
        </w:tc>
      </w:tr>
      <w:tr w:rsidR="00257173" w14:paraId="009F9AB7" w14:textId="77777777">
        <w:trPr>
          <w:cantSplit/>
          <w:trHeight w:val="60"/>
        </w:trPr>
        <w:tc>
          <w:tcPr>
            <w:tcW w:w="1871" w:type="dxa"/>
          </w:tcPr>
          <w:p w14:paraId="413F1717" w14:textId="77777777" w:rsidR="00257173" w:rsidRDefault="00257173" w:rsidP="00533AEE">
            <w:pPr>
              <w:pStyle w:val="TableSideHeading"/>
              <w:ind w:left="408"/>
              <w:rPr>
                <w:sz w:val="14"/>
                <w:szCs w:val="20"/>
                <w:highlight w:val="cyan"/>
                <w:rtl/>
              </w:rPr>
            </w:pPr>
          </w:p>
        </w:tc>
        <w:tc>
          <w:tcPr>
            <w:tcW w:w="624" w:type="dxa"/>
          </w:tcPr>
          <w:p w14:paraId="2C65B608" w14:textId="77777777" w:rsidR="00257173" w:rsidRDefault="00257173" w:rsidP="00257173">
            <w:pPr>
              <w:pStyle w:val="TableText"/>
            </w:pPr>
          </w:p>
        </w:tc>
        <w:tc>
          <w:tcPr>
            <w:tcW w:w="624" w:type="dxa"/>
          </w:tcPr>
          <w:p w14:paraId="5505213A" w14:textId="77777777" w:rsidR="00257173" w:rsidRDefault="00257173">
            <w:pPr>
              <w:pStyle w:val="TableText"/>
            </w:pPr>
          </w:p>
        </w:tc>
        <w:tc>
          <w:tcPr>
            <w:tcW w:w="624" w:type="dxa"/>
          </w:tcPr>
          <w:p w14:paraId="40D8A37C" w14:textId="77777777" w:rsidR="00257173" w:rsidRDefault="00257173">
            <w:pPr>
              <w:pStyle w:val="TableText"/>
            </w:pPr>
          </w:p>
        </w:tc>
        <w:tc>
          <w:tcPr>
            <w:tcW w:w="624" w:type="dxa"/>
          </w:tcPr>
          <w:p w14:paraId="520497B9" w14:textId="77777777" w:rsidR="00257173" w:rsidRDefault="00257173">
            <w:pPr>
              <w:pStyle w:val="TableText"/>
            </w:pPr>
          </w:p>
        </w:tc>
        <w:tc>
          <w:tcPr>
            <w:tcW w:w="624" w:type="dxa"/>
          </w:tcPr>
          <w:p w14:paraId="153D7F95" w14:textId="77777777" w:rsidR="00257173" w:rsidRDefault="00257173">
            <w:pPr>
              <w:pStyle w:val="TableText"/>
            </w:pPr>
          </w:p>
        </w:tc>
        <w:tc>
          <w:tcPr>
            <w:tcW w:w="4650" w:type="dxa"/>
            <w:gridSpan w:val="2"/>
          </w:tcPr>
          <w:p w14:paraId="735435C4" w14:textId="66A8D7D0" w:rsidR="003342D8" w:rsidRPr="003342D8" w:rsidRDefault="003342D8" w:rsidP="00263843">
            <w:pPr>
              <w:pStyle w:val="TableBlock"/>
              <w:numPr>
                <w:ilvl w:val="0"/>
                <w:numId w:val="44"/>
              </w:numPr>
              <w:tabs>
                <w:tab w:val="left" w:pos="624"/>
              </w:tabs>
              <w:rPr>
                <w:rtl/>
              </w:rPr>
            </w:pPr>
            <w:r>
              <w:rPr>
                <w:rFonts w:hint="cs"/>
                <w:rtl/>
              </w:rPr>
              <w:t xml:space="preserve"> חובת פניה כאמור </w:t>
            </w:r>
            <w:r w:rsidR="00E21CA5">
              <w:rPr>
                <w:rFonts w:hint="cs"/>
                <w:rtl/>
              </w:rPr>
              <w:t xml:space="preserve">בסעיפים קטנים </w:t>
            </w:r>
            <w:r>
              <w:rPr>
                <w:rFonts w:hint="cs"/>
                <w:rtl/>
              </w:rPr>
              <w:t>(א)</w:t>
            </w:r>
            <w:r w:rsidR="00E21CA5">
              <w:rPr>
                <w:rFonts w:hint="cs"/>
                <w:rtl/>
              </w:rPr>
              <w:t xml:space="preserve"> או (ב)</w:t>
            </w:r>
            <w:r>
              <w:rPr>
                <w:rFonts w:hint="cs"/>
                <w:rtl/>
              </w:rPr>
              <w:t xml:space="preserve"> </w:t>
            </w:r>
            <w:r w:rsidR="00794A32">
              <w:rPr>
                <w:rFonts w:hint="cs"/>
                <w:rtl/>
              </w:rPr>
              <w:t xml:space="preserve">לגבי אותו ענין, </w:t>
            </w:r>
            <w:r>
              <w:rPr>
                <w:rFonts w:hint="cs"/>
                <w:rtl/>
              </w:rPr>
              <w:t>תיערך ביחס לפונה הראשון בלבד.</w:t>
            </w:r>
          </w:p>
        </w:tc>
      </w:tr>
      <w:bookmarkEnd w:id="4"/>
      <w:tr w:rsidR="00F908E0" w14:paraId="127C0795" w14:textId="77777777">
        <w:trPr>
          <w:cantSplit/>
          <w:trHeight w:val="60"/>
        </w:trPr>
        <w:tc>
          <w:tcPr>
            <w:tcW w:w="1871" w:type="dxa"/>
          </w:tcPr>
          <w:p w14:paraId="020C99CA" w14:textId="77777777" w:rsidR="00F908E0" w:rsidRDefault="00F908E0" w:rsidP="00533AEE">
            <w:pPr>
              <w:pStyle w:val="TableSideHeading"/>
              <w:ind w:left="408"/>
              <w:rPr>
                <w:sz w:val="14"/>
                <w:szCs w:val="20"/>
                <w:highlight w:val="cyan"/>
                <w:rtl/>
              </w:rPr>
            </w:pPr>
          </w:p>
        </w:tc>
        <w:tc>
          <w:tcPr>
            <w:tcW w:w="624" w:type="dxa"/>
          </w:tcPr>
          <w:p w14:paraId="387494D4" w14:textId="77777777" w:rsidR="00F908E0" w:rsidRDefault="00F908E0" w:rsidP="00F908E0">
            <w:pPr>
              <w:pStyle w:val="TableText"/>
            </w:pPr>
          </w:p>
        </w:tc>
        <w:tc>
          <w:tcPr>
            <w:tcW w:w="624" w:type="dxa"/>
          </w:tcPr>
          <w:p w14:paraId="6B7E5691" w14:textId="77777777" w:rsidR="00F908E0" w:rsidRDefault="00F908E0">
            <w:pPr>
              <w:pStyle w:val="TableText"/>
            </w:pPr>
          </w:p>
        </w:tc>
        <w:tc>
          <w:tcPr>
            <w:tcW w:w="624" w:type="dxa"/>
          </w:tcPr>
          <w:p w14:paraId="68CBE971" w14:textId="77777777" w:rsidR="00F908E0" w:rsidRDefault="00F908E0">
            <w:pPr>
              <w:pStyle w:val="TableText"/>
            </w:pPr>
          </w:p>
        </w:tc>
        <w:tc>
          <w:tcPr>
            <w:tcW w:w="624" w:type="dxa"/>
          </w:tcPr>
          <w:p w14:paraId="71C77C20" w14:textId="77777777" w:rsidR="00F908E0" w:rsidRDefault="00F908E0">
            <w:pPr>
              <w:pStyle w:val="TableText"/>
            </w:pPr>
          </w:p>
        </w:tc>
        <w:tc>
          <w:tcPr>
            <w:tcW w:w="624" w:type="dxa"/>
          </w:tcPr>
          <w:p w14:paraId="0CF1BCEE" w14:textId="77777777" w:rsidR="00F908E0" w:rsidRDefault="00F908E0">
            <w:pPr>
              <w:pStyle w:val="TableText"/>
            </w:pPr>
          </w:p>
        </w:tc>
        <w:tc>
          <w:tcPr>
            <w:tcW w:w="4650" w:type="dxa"/>
            <w:gridSpan w:val="2"/>
          </w:tcPr>
          <w:p w14:paraId="30E9C01E" w14:textId="5C8D7D1B" w:rsidR="00F908E0" w:rsidRDefault="00F908E0" w:rsidP="00263843">
            <w:pPr>
              <w:pStyle w:val="TableBlock"/>
              <w:numPr>
                <w:ilvl w:val="0"/>
                <w:numId w:val="44"/>
              </w:numPr>
              <w:tabs>
                <w:tab w:val="left" w:pos="624"/>
              </w:tabs>
              <w:rPr>
                <w:rtl/>
              </w:rPr>
            </w:pPr>
            <w:r>
              <w:rPr>
                <w:rFonts w:hint="cs"/>
                <w:rtl/>
              </w:rPr>
              <w:t>הוגשה תובענה ייצוגית</w:t>
            </w:r>
            <w:r w:rsidR="003E4B79">
              <w:rPr>
                <w:rFonts w:hint="cs"/>
                <w:rtl/>
              </w:rPr>
              <w:t xml:space="preserve"> נגד </w:t>
            </w:r>
            <w:r w:rsidR="00DB3A52">
              <w:rPr>
                <w:rFonts w:hint="cs"/>
                <w:rtl/>
              </w:rPr>
              <w:t>נתבע</w:t>
            </w:r>
            <w:r w:rsidR="003C7A7A">
              <w:rPr>
                <w:rFonts w:hint="cs"/>
                <w:rtl/>
              </w:rPr>
              <w:t>,</w:t>
            </w:r>
            <w:r w:rsidR="003E4B79">
              <w:rPr>
                <w:rFonts w:hint="cs"/>
                <w:rtl/>
              </w:rPr>
              <w:t xml:space="preserve"> ללא שנערכה פניה כאמור </w:t>
            </w:r>
            <w:r w:rsidR="00E21CA5">
              <w:rPr>
                <w:rFonts w:hint="cs"/>
                <w:rtl/>
              </w:rPr>
              <w:t xml:space="preserve">בסעיפים קטנים </w:t>
            </w:r>
            <w:r w:rsidR="003E4B79">
              <w:rPr>
                <w:rFonts w:hint="cs"/>
                <w:rtl/>
              </w:rPr>
              <w:t>(א)</w:t>
            </w:r>
            <w:r w:rsidR="00E21CA5">
              <w:rPr>
                <w:rFonts w:hint="cs"/>
                <w:rtl/>
              </w:rPr>
              <w:t xml:space="preserve"> או (ב)</w:t>
            </w:r>
            <w:r w:rsidR="003C7A7A">
              <w:rPr>
                <w:rFonts w:hint="cs"/>
                <w:rtl/>
              </w:rPr>
              <w:t xml:space="preserve">, </w:t>
            </w:r>
            <w:r w:rsidR="003E4B79">
              <w:rPr>
                <w:rFonts w:hint="cs"/>
                <w:rtl/>
              </w:rPr>
              <w:t xml:space="preserve"> יורה בית המשפט על מחיקת התביעה </w:t>
            </w:r>
            <w:r w:rsidR="00C94C10">
              <w:rPr>
                <w:rFonts w:hint="cs"/>
                <w:rtl/>
              </w:rPr>
              <w:t xml:space="preserve">נגדו </w:t>
            </w:r>
            <w:r w:rsidR="003E4B79">
              <w:rPr>
                <w:rFonts w:hint="cs"/>
                <w:rtl/>
              </w:rPr>
              <w:t>לצורך עריכת פניה כאמור.</w:t>
            </w:r>
          </w:p>
        </w:tc>
      </w:tr>
      <w:tr w:rsidR="00533AEE" w14:paraId="1FA74F74" w14:textId="77777777">
        <w:trPr>
          <w:cantSplit/>
          <w:trHeight w:val="60"/>
        </w:trPr>
        <w:tc>
          <w:tcPr>
            <w:tcW w:w="1871" w:type="dxa"/>
          </w:tcPr>
          <w:p w14:paraId="5AF6CD8D" w14:textId="0A1E5EF7" w:rsidR="00533AEE" w:rsidRDefault="00533AEE" w:rsidP="00533AEE">
            <w:pPr>
              <w:pStyle w:val="TableSideHeading"/>
              <w:rPr>
                <w:sz w:val="14"/>
                <w:szCs w:val="20"/>
                <w:highlight w:val="cyan"/>
                <w:rtl/>
              </w:rPr>
            </w:pPr>
          </w:p>
        </w:tc>
        <w:tc>
          <w:tcPr>
            <w:tcW w:w="624" w:type="dxa"/>
          </w:tcPr>
          <w:p w14:paraId="493884E9" w14:textId="77777777" w:rsidR="00533AEE" w:rsidRDefault="00533AEE" w:rsidP="00533AEE">
            <w:pPr>
              <w:pStyle w:val="TableText"/>
            </w:pPr>
          </w:p>
        </w:tc>
        <w:tc>
          <w:tcPr>
            <w:tcW w:w="624" w:type="dxa"/>
          </w:tcPr>
          <w:p w14:paraId="184FC260" w14:textId="77777777" w:rsidR="00533AEE" w:rsidRDefault="00533AEE">
            <w:pPr>
              <w:pStyle w:val="TableText"/>
            </w:pPr>
          </w:p>
        </w:tc>
        <w:tc>
          <w:tcPr>
            <w:tcW w:w="624" w:type="dxa"/>
          </w:tcPr>
          <w:p w14:paraId="46E0ADA6" w14:textId="77777777" w:rsidR="00533AEE" w:rsidRDefault="00533AEE">
            <w:pPr>
              <w:pStyle w:val="TableText"/>
            </w:pPr>
          </w:p>
        </w:tc>
        <w:tc>
          <w:tcPr>
            <w:tcW w:w="624" w:type="dxa"/>
          </w:tcPr>
          <w:p w14:paraId="34728BCD" w14:textId="77777777" w:rsidR="00533AEE" w:rsidRDefault="00533AEE">
            <w:pPr>
              <w:pStyle w:val="TableText"/>
            </w:pPr>
          </w:p>
        </w:tc>
        <w:tc>
          <w:tcPr>
            <w:tcW w:w="624" w:type="dxa"/>
          </w:tcPr>
          <w:p w14:paraId="296A10CA" w14:textId="77777777" w:rsidR="00533AEE" w:rsidRDefault="00533AEE">
            <w:pPr>
              <w:pStyle w:val="TableText"/>
            </w:pPr>
          </w:p>
        </w:tc>
        <w:tc>
          <w:tcPr>
            <w:tcW w:w="4650" w:type="dxa"/>
            <w:gridSpan w:val="2"/>
          </w:tcPr>
          <w:p w14:paraId="6512DCA3" w14:textId="12C3DF08" w:rsidR="00533AEE" w:rsidRPr="00533AEE" w:rsidRDefault="00533AEE" w:rsidP="00263843">
            <w:pPr>
              <w:pStyle w:val="TableBlock"/>
              <w:numPr>
                <w:ilvl w:val="0"/>
                <w:numId w:val="44"/>
              </w:numPr>
              <w:tabs>
                <w:tab w:val="left" w:pos="624"/>
              </w:tabs>
              <w:rPr>
                <w:rtl/>
              </w:rPr>
            </w:pPr>
            <w:r>
              <w:rPr>
                <w:rFonts w:hint="cs"/>
                <w:rtl/>
              </w:rPr>
              <w:t>השר יקבע הוראות לביצוע סעיף זה.</w:t>
            </w:r>
          </w:p>
        </w:tc>
      </w:tr>
      <w:tr w:rsidR="006C1CA4" w14:paraId="58566028" w14:textId="77777777">
        <w:trPr>
          <w:cantSplit/>
          <w:trHeight w:val="60"/>
        </w:trPr>
        <w:tc>
          <w:tcPr>
            <w:tcW w:w="1871" w:type="dxa"/>
          </w:tcPr>
          <w:p w14:paraId="7994750F" w14:textId="77777777" w:rsidR="006C1CA4" w:rsidRDefault="006C1CA4" w:rsidP="00533AEE">
            <w:pPr>
              <w:pStyle w:val="TableSideHeading"/>
              <w:rPr>
                <w:sz w:val="14"/>
                <w:szCs w:val="20"/>
                <w:highlight w:val="cyan"/>
                <w:rtl/>
              </w:rPr>
            </w:pPr>
          </w:p>
        </w:tc>
        <w:tc>
          <w:tcPr>
            <w:tcW w:w="624" w:type="dxa"/>
          </w:tcPr>
          <w:p w14:paraId="4F5BCAB1" w14:textId="77777777" w:rsidR="006C1CA4" w:rsidRDefault="006C1CA4" w:rsidP="006C1CA4">
            <w:pPr>
              <w:pStyle w:val="TableText"/>
            </w:pPr>
          </w:p>
        </w:tc>
        <w:tc>
          <w:tcPr>
            <w:tcW w:w="624" w:type="dxa"/>
          </w:tcPr>
          <w:p w14:paraId="0F7BC717" w14:textId="77777777" w:rsidR="006C1CA4" w:rsidRDefault="006C1CA4">
            <w:pPr>
              <w:pStyle w:val="TableText"/>
            </w:pPr>
          </w:p>
        </w:tc>
        <w:tc>
          <w:tcPr>
            <w:tcW w:w="624" w:type="dxa"/>
          </w:tcPr>
          <w:p w14:paraId="1A916838" w14:textId="77777777" w:rsidR="006C1CA4" w:rsidRDefault="006C1CA4">
            <w:pPr>
              <w:pStyle w:val="TableText"/>
            </w:pPr>
          </w:p>
        </w:tc>
        <w:tc>
          <w:tcPr>
            <w:tcW w:w="624" w:type="dxa"/>
          </w:tcPr>
          <w:p w14:paraId="5757DBEC" w14:textId="77777777" w:rsidR="006C1CA4" w:rsidRDefault="006C1CA4">
            <w:pPr>
              <w:pStyle w:val="TableText"/>
            </w:pPr>
          </w:p>
        </w:tc>
        <w:tc>
          <w:tcPr>
            <w:tcW w:w="624" w:type="dxa"/>
          </w:tcPr>
          <w:p w14:paraId="609CD3AF" w14:textId="77777777" w:rsidR="006C1CA4" w:rsidRDefault="006C1CA4">
            <w:pPr>
              <w:pStyle w:val="TableText"/>
            </w:pPr>
          </w:p>
        </w:tc>
        <w:tc>
          <w:tcPr>
            <w:tcW w:w="4650" w:type="dxa"/>
            <w:gridSpan w:val="2"/>
          </w:tcPr>
          <w:p w14:paraId="7B71D070" w14:textId="7CE3B8A5" w:rsidR="006C1CA4" w:rsidRDefault="006C1CA4" w:rsidP="00263843">
            <w:pPr>
              <w:pStyle w:val="TableBlock"/>
              <w:numPr>
                <w:ilvl w:val="0"/>
                <w:numId w:val="44"/>
              </w:numPr>
              <w:tabs>
                <w:tab w:val="left" w:pos="624"/>
              </w:tabs>
              <w:rPr>
                <w:rtl/>
              </w:rPr>
            </w:pPr>
            <w:r>
              <w:rPr>
                <w:rFonts w:hint="cs"/>
                <w:rtl/>
              </w:rPr>
              <w:t>תוקפו של סעי</w:t>
            </w:r>
            <w:r w:rsidR="00BE1259">
              <w:rPr>
                <w:rFonts w:hint="cs"/>
                <w:rtl/>
              </w:rPr>
              <w:t>ף זה יהיה לתקופה של שנתיים; ואולם, השר רשאי בצו להאריך את התקופה הקבועה בסעיף 3 לחוק בתקופה נוספת שלא תעלה על שנתיים.</w:t>
            </w:r>
          </w:p>
        </w:tc>
      </w:tr>
      <w:tr w:rsidR="006F347F" w14:paraId="6FAFD01F" w14:textId="77777777">
        <w:trPr>
          <w:cantSplit/>
          <w:trHeight w:val="60"/>
        </w:trPr>
        <w:tc>
          <w:tcPr>
            <w:tcW w:w="1871" w:type="dxa"/>
          </w:tcPr>
          <w:p w14:paraId="77778A2F" w14:textId="77777777" w:rsidR="006F347F" w:rsidRDefault="006F347F">
            <w:pPr>
              <w:pStyle w:val="TableSideHeading"/>
              <w:keepLines w:val="0"/>
            </w:pPr>
          </w:p>
        </w:tc>
        <w:tc>
          <w:tcPr>
            <w:tcW w:w="624" w:type="dxa"/>
          </w:tcPr>
          <w:p w14:paraId="3FFD1839" w14:textId="77777777" w:rsidR="006F347F" w:rsidRDefault="006F347F">
            <w:pPr>
              <w:pStyle w:val="TableText"/>
              <w:keepLines w:val="0"/>
            </w:pPr>
          </w:p>
        </w:tc>
        <w:tc>
          <w:tcPr>
            <w:tcW w:w="1872" w:type="dxa"/>
            <w:gridSpan w:val="3"/>
          </w:tcPr>
          <w:p w14:paraId="28332C97" w14:textId="31D5EF4C" w:rsidR="006F347F" w:rsidRDefault="006F347F">
            <w:pPr>
              <w:pStyle w:val="TableInnerSideHeading"/>
              <w:rPr>
                <w:rtl/>
              </w:rPr>
            </w:pPr>
            <w:r>
              <w:rPr>
                <w:rFonts w:hint="cs"/>
                <w:rtl/>
              </w:rPr>
              <w:t xml:space="preserve">"עריכת פניה מוקדמת לרשות </w:t>
            </w:r>
          </w:p>
          <w:p w14:paraId="6B9712F4" w14:textId="10EA7AD6" w:rsidR="00F21774" w:rsidRDefault="00F21774">
            <w:pPr>
              <w:pStyle w:val="TableInnerSideHeading"/>
            </w:pPr>
          </w:p>
        </w:tc>
        <w:tc>
          <w:tcPr>
            <w:tcW w:w="624" w:type="dxa"/>
          </w:tcPr>
          <w:p w14:paraId="1DBF0916" w14:textId="254D42AF" w:rsidR="006F347F" w:rsidRDefault="006F347F">
            <w:pPr>
              <w:pStyle w:val="TableText"/>
            </w:pPr>
            <w:r>
              <w:rPr>
                <w:rFonts w:hint="cs"/>
                <w:rtl/>
              </w:rPr>
              <w:t>3ב.</w:t>
            </w:r>
          </w:p>
        </w:tc>
        <w:tc>
          <w:tcPr>
            <w:tcW w:w="4650" w:type="dxa"/>
            <w:gridSpan w:val="2"/>
          </w:tcPr>
          <w:p w14:paraId="44CC60F1" w14:textId="3B055325" w:rsidR="006F347F" w:rsidRPr="00406DAD" w:rsidRDefault="00F21774" w:rsidP="005D3F80">
            <w:pPr>
              <w:pStyle w:val="TableInnerSideHeading"/>
              <w:numPr>
                <w:ilvl w:val="2"/>
                <w:numId w:val="2"/>
              </w:numPr>
              <w:jc w:val="both"/>
            </w:pPr>
            <w:r w:rsidRPr="00406DAD">
              <w:rPr>
                <w:rFonts w:hint="cs"/>
                <w:rtl/>
              </w:rPr>
              <w:t xml:space="preserve">לא תוגש בקשה לאישור </w:t>
            </w:r>
            <w:r w:rsidRPr="00C5500C">
              <w:rPr>
                <w:rFonts w:hint="cs"/>
                <w:rtl/>
              </w:rPr>
              <w:t xml:space="preserve">בתביעת השבה </w:t>
            </w:r>
            <w:r w:rsidRPr="00C5500C">
              <w:rPr>
                <w:rtl/>
              </w:rPr>
              <w:t>כמפורט בפרטים</w:t>
            </w:r>
            <w:r w:rsidRPr="00C5500C">
              <w:rPr>
                <w:rFonts w:hint="cs"/>
                <w:rtl/>
              </w:rPr>
              <w:t xml:space="preserve"> 11,</w:t>
            </w:r>
            <w:r w:rsidRPr="00C5500C">
              <w:rPr>
                <w:rtl/>
              </w:rPr>
              <w:t xml:space="preserve"> 15</w:t>
            </w:r>
            <w:r w:rsidRPr="00C5500C">
              <w:rPr>
                <w:rFonts w:hint="cs"/>
                <w:rtl/>
              </w:rPr>
              <w:t xml:space="preserve">, </w:t>
            </w:r>
            <w:r w:rsidRPr="00C5500C">
              <w:rPr>
                <w:rtl/>
              </w:rPr>
              <w:t>ו-1</w:t>
            </w:r>
            <w:r w:rsidRPr="00C5500C">
              <w:rPr>
                <w:rFonts w:hint="cs"/>
                <w:rtl/>
              </w:rPr>
              <w:t>6</w:t>
            </w:r>
            <w:r w:rsidRPr="00C5500C">
              <w:rPr>
                <w:rtl/>
              </w:rPr>
              <w:t xml:space="preserve"> </w:t>
            </w:r>
            <w:r w:rsidR="001A7481" w:rsidRPr="00C5500C">
              <w:rPr>
                <w:rFonts w:hint="cs"/>
                <w:rtl/>
              </w:rPr>
              <w:t>ב</w:t>
            </w:r>
            <w:r w:rsidRPr="00C5500C">
              <w:rPr>
                <w:rtl/>
              </w:rPr>
              <w:t xml:space="preserve">תוספת </w:t>
            </w:r>
            <w:proofErr w:type="spellStart"/>
            <w:r w:rsidRPr="00C5500C">
              <w:rPr>
                <w:rFonts w:hint="eastAsia"/>
                <w:rtl/>
              </w:rPr>
              <w:t>השניה</w:t>
            </w:r>
            <w:proofErr w:type="spellEnd"/>
            <w:r w:rsidRPr="00406DAD">
              <w:rPr>
                <w:rFonts w:hint="cs"/>
                <w:rtl/>
              </w:rPr>
              <w:t>, אלא אם נשלחה לרשות הודעה הדורשת ממנה להפסיק את הגביה והרשות לא הפסיקה את הגביה כאמור בתוך 60 ימים מיום קבלת ההודעה (בסעיף זה – המועד הקובע); בטרם תוגש פניה כאמור</w:t>
            </w:r>
            <w:r w:rsidR="00314A97" w:rsidRPr="00406DAD">
              <w:rPr>
                <w:rFonts w:hint="cs"/>
                <w:rtl/>
              </w:rPr>
              <w:t xml:space="preserve"> ישלם</w:t>
            </w:r>
            <w:r w:rsidRPr="00406DAD">
              <w:rPr>
                <w:rFonts w:hint="cs"/>
                <w:rtl/>
              </w:rPr>
              <w:t xml:space="preserve"> </w:t>
            </w:r>
            <w:r w:rsidR="00314A97" w:rsidRPr="00406DAD">
              <w:rPr>
                <w:rFonts w:hint="cs"/>
                <w:rtl/>
              </w:rPr>
              <w:t xml:space="preserve">הפונה </w:t>
            </w:r>
            <w:r w:rsidR="00E8302E" w:rsidRPr="00406DAD">
              <w:rPr>
                <w:rFonts w:hint="cs"/>
                <w:rtl/>
              </w:rPr>
              <w:t xml:space="preserve">אגרה </w:t>
            </w:r>
            <w:r w:rsidR="00314A97" w:rsidRPr="00406DAD">
              <w:rPr>
                <w:rFonts w:hint="cs"/>
                <w:rtl/>
              </w:rPr>
              <w:t>בשיעור כמפורט בתקנות;</w:t>
            </w:r>
          </w:p>
        </w:tc>
      </w:tr>
      <w:tr w:rsidR="00F21774" w14:paraId="02F6A1A1" w14:textId="77777777">
        <w:trPr>
          <w:cantSplit/>
          <w:trHeight w:val="60"/>
        </w:trPr>
        <w:tc>
          <w:tcPr>
            <w:tcW w:w="1871" w:type="dxa"/>
          </w:tcPr>
          <w:p w14:paraId="68C6A8AA" w14:textId="77777777" w:rsidR="00F21774" w:rsidRDefault="00F21774">
            <w:pPr>
              <w:pStyle w:val="TableSideHeading"/>
            </w:pPr>
          </w:p>
        </w:tc>
        <w:tc>
          <w:tcPr>
            <w:tcW w:w="624" w:type="dxa"/>
          </w:tcPr>
          <w:p w14:paraId="2841796C" w14:textId="77777777" w:rsidR="00F21774" w:rsidRDefault="00F21774">
            <w:pPr>
              <w:pStyle w:val="TableText"/>
            </w:pPr>
          </w:p>
        </w:tc>
        <w:tc>
          <w:tcPr>
            <w:tcW w:w="624" w:type="dxa"/>
          </w:tcPr>
          <w:p w14:paraId="72DBDAC8" w14:textId="77777777" w:rsidR="00F21774" w:rsidRDefault="00F21774">
            <w:pPr>
              <w:pStyle w:val="TableText"/>
            </w:pPr>
          </w:p>
        </w:tc>
        <w:tc>
          <w:tcPr>
            <w:tcW w:w="624" w:type="dxa"/>
          </w:tcPr>
          <w:p w14:paraId="77650D7C" w14:textId="77777777" w:rsidR="00F21774" w:rsidRDefault="00F21774">
            <w:pPr>
              <w:pStyle w:val="TableText"/>
            </w:pPr>
          </w:p>
        </w:tc>
        <w:tc>
          <w:tcPr>
            <w:tcW w:w="624" w:type="dxa"/>
          </w:tcPr>
          <w:p w14:paraId="7AC33E5C" w14:textId="77777777" w:rsidR="00F21774" w:rsidRDefault="00F21774">
            <w:pPr>
              <w:pStyle w:val="TableText"/>
            </w:pPr>
          </w:p>
        </w:tc>
        <w:tc>
          <w:tcPr>
            <w:tcW w:w="624" w:type="dxa"/>
          </w:tcPr>
          <w:p w14:paraId="2F3C5A6A" w14:textId="77777777" w:rsidR="00F21774" w:rsidRDefault="00F21774">
            <w:pPr>
              <w:pStyle w:val="TableText"/>
            </w:pPr>
          </w:p>
        </w:tc>
        <w:tc>
          <w:tcPr>
            <w:tcW w:w="4650" w:type="dxa"/>
            <w:gridSpan w:val="2"/>
          </w:tcPr>
          <w:p w14:paraId="39656C40" w14:textId="5F1355AA" w:rsidR="00F21774" w:rsidRPr="00406DAD" w:rsidRDefault="00F21774" w:rsidP="005D3F80">
            <w:pPr>
              <w:pStyle w:val="TableInnerSideHeading"/>
              <w:numPr>
                <w:ilvl w:val="2"/>
                <w:numId w:val="2"/>
              </w:numPr>
              <w:jc w:val="both"/>
            </w:pPr>
            <w:r w:rsidRPr="00406DAD">
              <w:rPr>
                <w:rFonts w:hint="cs"/>
                <w:rtl/>
              </w:rPr>
              <w:t>הפסיקה הרשות את הגביה במועד הקובע, תשלם הרשות לפונה תגמול בשיעור כמפורט בפרט 1 בתוספת החמישית;</w:t>
            </w:r>
          </w:p>
        </w:tc>
      </w:tr>
      <w:tr w:rsidR="00F21774" w14:paraId="405FC645" w14:textId="77777777">
        <w:trPr>
          <w:cantSplit/>
          <w:trHeight w:val="60"/>
        </w:trPr>
        <w:tc>
          <w:tcPr>
            <w:tcW w:w="1871" w:type="dxa"/>
          </w:tcPr>
          <w:p w14:paraId="643E5CA8" w14:textId="77777777" w:rsidR="00F21774" w:rsidRDefault="00F21774">
            <w:pPr>
              <w:pStyle w:val="TableSideHeading"/>
            </w:pPr>
          </w:p>
        </w:tc>
        <w:tc>
          <w:tcPr>
            <w:tcW w:w="624" w:type="dxa"/>
          </w:tcPr>
          <w:p w14:paraId="4775792A" w14:textId="77777777" w:rsidR="00F21774" w:rsidRDefault="00F21774" w:rsidP="00F21774">
            <w:pPr>
              <w:pStyle w:val="TableText"/>
            </w:pPr>
          </w:p>
        </w:tc>
        <w:tc>
          <w:tcPr>
            <w:tcW w:w="624" w:type="dxa"/>
          </w:tcPr>
          <w:p w14:paraId="00B61BD3" w14:textId="77777777" w:rsidR="00F21774" w:rsidRDefault="00F21774">
            <w:pPr>
              <w:pStyle w:val="TableText"/>
            </w:pPr>
          </w:p>
        </w:tc>
        <w:tc>
          <w:tcPr>
            <w:tcW w:w="624" w:type="dxa"/>
          </w:tcPr>
          <w:p w14:paraId="65561FC7" w14:textId="77777777" w:rsidR="00F21774" w:rsidRDefault="00F21774">
            <w:pPr>
              <w:pStyle w:val="TableText"/>
            </w:pPr>
          </w:p>
        </w:tc>
        <w:tc>
          <w:tcPr>
            <w:tcW w:w="624" w:type="dxa"/>
          </w:tcPr>
          <w:p w14:paraId="340E02FD" w14:textId="77777777" w:rsidR="00F21774" w:rsidRDefault="00F21774">
            <w:pPr>
              <w:pStyle w:val="TableText"/>
            </w:pPr>
          </w:p>
        </w:tc>
        <w:tc>
          <w:tcPr>
            <w:tcW w:w="624" w:type="dxa"/>
          </w:tcPr>
          <w:p w14:paraId="18958638" w14:textId="77777777" w:rsidR="00F21774" w:rsidRDefault="00F21774">
            <w:pPr>
              <w:pStyle w:val="TableText"/>
            </w:pPr>
          </w:p>
        </w:tc>
        <w:tc>
          <w:tcPr>
            <w:tcW w:w="4650" w:type="dxa"/>
            <w:gridSpan w:val="2"/>
          </w:tcPr>
          <w:p w14:paraId="3B4AD1CF" w14:textId="15BDE82F" w:rsidR="00F21774" w:rsidRDefault="00F21774" w:rsidP="005D3F80">
            <w:pPr>
              <w:pStyle w:val="TableInnerSideHeading"/>
              <w:numPr>
                <w:ilvl w:val="2"/>
                <w:numId w:val="2"/>
              </w:numPr>
              <w:jc w:val="both"/>
              <w:rPr>
                <w:rtl/>
              </w:rPr>
            </w:pPr>
            <w:r>
              <w:rPr>
                <w:rFonts w:hint="cs"/>
                <w:rtl/>
              </w:rPr>
              <w:t>הודעה על הפניה המוקדמת והמענה לה תפורסם לאחר המועד הקובע; הודעה כאמור לא תשמש ראיה להודיית הרשות בהליך אזרחי;</w:t>
            </w:r>
          </w:p>
        </w:tc>
      </w:tr>
      <w:tr w:rsidR="00483477" w14:paraId="7EDA09E8" w14:textId="77777777">
        <w:trPr>
          <w:cantSplit/>
          <w:trHeight w:val="60"/>
        </w:trPr>
        <w:tc>
          <w:tcPr>
            <w:tcW w:w="1871" w:type="dxa"/>
          </w:tcPr>
          <w:p w14:paraId="579337AD" w14:textId="77777777" w:rsidR="00483477" w:rsidRDefault="00483477">
            <w:pPr>
              <w:pStyle w:val="TableSideHeading"/>
            </w:pPr>
          </w:p>
        </w:tc>
        <w:tc>
          <w:tcPr>
            <w:tcW w:w="624" w:type="dxa"/>
          </w:tcPr>
          <w:p w14:paraId="45CBCD13" w14:textId="77777777" w:rsidR="00483477" w:rsidRDefault="00483477" w:rsidP="00483477">
            <w:pPr>
              <w:pStyle w:val="TableText"/>
            </w:pPr>
          </w:p>
        </w:tc>
        <w:tc>
          <w:tcPr>
            <w:tcW w:w="624" w:type="dxa"/>
          </w:tcPr>
          <w:p w14:paraId="36873AF4" w14:textId="77777777" w:rsidR="00483477" w:rsidRDefault="00483477">
            <w:pPr>
              <w:pStyle w:val="TableText"/>
            </w:pPr>
          </w:p>
        </w:tc>
        <w:tc>
          <w:tcPr>
            <w:tcW w:w="624" w:type="dxa"/>
          </w:tcPr>
          <w:p w14:paraId="7CED6F70" w14:textId="77777777" w:rsidR="00483477" w:rsidRDefault="00483477">
            <w:pPr>
              <w:pStyle w:val="TableText"/>
            </w:pPr>
          </w:p>
        </w:tc>
        <w:tc>
          <w:tcPr>
            <w:tcW w:w="624" w:type="dxa"/>
          </w:tcPr>
          <w:p w14:paraId="3BD922DC" w14:textId="77777777" w:rsidR="00483477" w:rsidRDefault="00483477">
            <w:pPr>
              <w:pStyle w:val="TableText"/>
            </w:pPr>
          </w:p>
        </w:tc>
        <w:tc>
          <w:tcPr>
            <w:tcW w:w="624" w:type="dxa"/>
          </w:tcPr>
          <w:p w14:paraId="141B1F7A" w14:textId="77777777" w:rsidR="00483477" w:rsidRDefault="00483477">
            <w:pPr>
              <w:pStyle w:val="TableText"/>
            </w:pPr>
          </w:p>
        </w:tc>
        <w:tc>
          <w:tcPr>
            <w:tcW w:w="4650" w:type="dxa"/>
            <w:gridSpan w:val="2"/>
          </w:tcPr>
          <w:p w14:paraId="6F933EB8" w14:textId="4C5C06AE" w:rsidR="00483477" w:rsidRDefault="003342D8" w:rsidP="005D3F80">
            <w:pPr>
              <w:pStyle w:val="TableInnerSideHeading"/>
              <w:numPr>
                <w:ilvl w:val="2"/>
                <w:numId w:val="2"/>
              </w:numPr>
              <w:jc w:val="both"/>
              <w:rPr>
                <w:rtl/>
              </w:rPr>
            </w:pPr>
            <w:r>
              <w:rPr>
                <w:rFonts w:hint="cs"/>
                <w:rtl/>
              </w:rPr>
              <w:t>חובת פניה כאמור בסעיף קטן (א)</w:t>
            </w:r>
            <w:r w:rsidR="005D3F80">
              <w:rPr>
                <w:rFonts w:hint="cs"/>
                <w:rtl/>
              </w:rPr>
              <w:t xml:space="preserve"> לגבי אותו ענין,</w:t>
            </w:r>
            <w:r>
              <w:rPr>
                <w:rFonts w:hint="cs"/>
                <w:rtl/>
              </w:rPr>
              <w:t xml:space="preserve"> תיערך ביחס לפונה הראשון בלבד.</w:t>
            </w:r>
          </w:p>
        </w:tc>
      </w:tr>
      <w:tr w:rsidR="00F21774" w14:paraId="231EE35C" w14:textId="77777777">
        <w:trPr>
          <w:cantSplit/>
          <w:trHeight w:val="60"/>
        </w:trPr>
        <w:tc>
          <w:tcPr>
            <w:tcW w:w="1871" w:type="dxa"/>
          </w:tcPr>
          <w:p w14:paraId="731A2D78" w14:textId="77777777" w:rsidR="00F21774" w:rsidRDefault="00F21774">
            <w:pPr>
              <w:pStyle w:val="TableSideHeading"/>
            </w:pPr>
          </w:p>
        </w:tc>
        <w:tc>
          <w:tcPr>
            <w:tcW w:w="624" w:type="dxa"/>
          </w:tcPr>
          <w:p w14:paraId="4E4F37B9" w14:textId="77777777" w:rsidR="00F21774" w:rsidRDefault="00F21774" w:rsidP="00F21774">
            <w:pPr>
              <w:pStyle w:val="TableText"/>
            </w:pPr>
          </w:p>
        </w:tc>
        <w:tc>
          <w:tcPr>
            <w:tcW w:w="624" w:type="dxa"/>
          </w:tcPr>
          <w:p w14:paraId="50199A09" w14:textId="77777777" w:rsidR="00F21774" w:rsidRDefault="00F21774">
            <w:pPr>
              <w:pStyle w:val="TableText"/>
            </w:pPr>
          </w:p>
        </w:tc>
        <w:tc>
          <w:tcPr>
            <w:tcW w:w="624" w:type="dxa"/>
          </w:tcPr>
          <w:p w14:paraId="01371F58" w14:textId="77777777" w:rsidR="00F21774" w:rsidRDefault="00F21774">
            <w:pPr>
              <w:pStyle w:val="TableText"/>
            </w:pPr>
          </w:p>
        </w:tc>
        <w:tc>
          <w:tcPr>
            <w:tcW w:w="624" w:type="dxa"/>
          </w:tcPr>
          <w:p w14:paraId="3ABA1ECD" w14:textId="77777777" w:rsidR="00F21774" w:rsidRDefault="00F21774">
            <w:pPr>
              <w:pStyle w:val="TableText"/>
            </w:pPr>
          </w:p>
        </w:tc>
        <w:tc>
          <w:tcPr>
            <w:tcW w:w="624" w:type="dxa"/>
          </w:tcPr>
          <w:p w14:paraId="113C8248" w14:textId="77777777" w:rsidR="00F21774" w:rsidRDefault="00F21774">
            <w:pPr>
              <w:pStyle w:val="TableText"/>
            </w:pPr>
          </w:p>
        </w:tc>
        <w:tc>
          <w:tcPr>
            <w:tcW w:w="4650" w:type="dxa"/>
            <w:gridSpan w:val="2"/>
          </w:tcPr>
          <w:p w14:paraId="595EC0FF" w14:textId="73050966" w:rsidR="00F21774" w:rsidRDefault="00F21774" w:rsidP="005D3F80">
            <w:pPr>
              <w:pStyle w:val="TableInnerSideHeading"/>
              <w:numPr>
                <w:ilvl w:val="2"/>
                <w:numId w:val="2"/>
              </w:numPr>
              <w:jc w:val="both"/>
              <w:rPr>
                <w:rtl/>
              </w:rPr>
            </w:pPr>
            <w:r>
              <w:rPr>
                <w:rFonts w:hint="cs"/>
                <w:rtl/>
              </w:rPr>
              <w:t>השר יקבע הוראות לביצוע סעיף זה.</w:t>
            </w:r>
          </w:p>
        </w:tc>
      </w:tr>
      <w:tr w:rsidR="006F5EBB" w14:paraId="045C552C" w14:textId="77777777">
        <w:trPr>
          <w:cantSplit/>
          <w:trHeight w:val="60"/>
        </w:trPr>
        <w:tc>
          <w:tcPr>
            <w:tcW w:w="1871" w:type="dxa"/>
          </w:tcPr>
          <w:p w14:paraId="7DCDCDF2" w14:textId="77777777" w:rsidR="006F5EBB" w:rsidRDefault="006F5EBB" w:rsidP="007E751D">
            <w:pPr>
              <w:pStyle w:val="TableSideHeading"/>
              <w:keepLines w:val="0"/>
            </w:pPr>
          </w:p>
        </w:tc>
        <w:tc>
          <w:tcPr>
            <w:tcW w:w="624" w:type="dxa"/>
          </w:tcPr>
          <w:p w14:paraId="5B62AE21" w14:textId="097EC69F" w:rsidR="006F5EBB" w:rsidRDefault="006F5EBB" w:rsidP="006F5EBB">
            <w:pPr>
              <w:pStyle w:val="TableText"/>
              <w:keepLines w:val="0"/>
              <w:numPr>
                <w:ilvl w:val="0"/>
                <w:numId w:val="2"/>
              </w:numPr>
            </w:pPr>
          </w:p>
        </w:tc>
        <w:tc>
          <w:tcPr>
            <w:tcW w:w="7146" w:type="dxa"/>
            <w:gridSpan w:val="6"/>
          </w:tcPr>
          <w:p w14:paraId="73BF1382" w14:textId="71B91858" w:rsidR="006F5EBB" w:rsidRDefault="00E67A7B" w:rsidP="001E05C1">
            <w:pPr>
              <w:pStyle w:val="TableBlock"/>
              <w:keepLines w:val="0"/>
              <w:rPr>
                <w:rtl/>
              </w:rPr>
            </w:pPr>
            <w:r>
              <w:rPr>
                <w:rFonts w:hint="cs"/>
                <w:rtl/>
              </w:rPr>
              <w:t>אחרי סעיף 3</w:t>
            </w:r>
            <w:r w:rsidR="00D0322D">
              <w:rPr>
                <w:rFonts w:hint="cs"/>
                <w:rtl/>
              </w:rPr>
              <w:t>ב</w:t>
            </w:r>
            <w:r>
              <w:rPr>
                <w:rFonts w:hint="cs"/>
                <w:rtl/>
              </w:rPr>
              <w:t xml:space="preserve"> לחוק</w:t>
            </w:r>
            <w:r w:rsidR="006F347F">
              <w:rPr>
                <w:rFonts w:hint="cs"/>
                <w:rtl/>
              </w:rPr>
              <w:t xml:space="preserve"> העיקרי</w:t>
            </w:r>
            <w:r>
              <w:rPr>
                <w:rFonts w:hint="cs"/>
                <w:rtl/>
              </w:rPr>
              <w:t xml:space="preserve"> יבוא</w:t>
            </w:r>
            <w:r w:rsidR="006F347F">
              <w:rPr>
                <w:rFonts w:hint="cs"/>
                <w:rtl/>
              </w:rPr>
              <w:t>:</w:t>
            </w:r>
          </w:p>
        </w:tc>
      </w:tr>
      <w:tr w:rsidR="00D94379" w14:paraId="28A3D94D" w14:textId="77777777">
        <w:trPr>
          <w:cantSplit/>
          <w:trHeight w:val="60"/>
        </w:trPr>
        <w:tc>
          <w:tcPr>
            <w:tcW w:w="1871" w:type="dxa"/>
          </w:tcPr>
          <w:p w14:paraId="25A30F68" w14:textId="77777777" w:rsidR="00D94379" w:rsidRDefault="00D94379">
            <w:pPr>
              <w:pStyle w:val="TableSideHeading"/>
              <w:keepLines w:val="0"/>
            </w:pPr>
          </w:p>
        </w:tc>
        <w:tc>
          <w:tcPr>
            <w:tcW w:w="624" w:type="dxa"/>
          </w:tcPr>
          <w:p w14:paraId="7B92D5CE" w14:textId="77777777" w:rsidR="00D94379" w:rsidRDefault="00D94379">
            <w:pPr>
              <w:pStyle w:val="TableText"/>
              <w:keepLines w:val="0"/>
            </w:pPr>
          </w:p>
        </w:tc>
        <w:tc>
          <w:tcPr>
            <w:tcW w:w="1872" w:type="dxa"/>
            <w:gridSpan w:val="3"/>
          </w:tcPr>
          <w:p w14:paraId="4B21358C" w14:textId="5C6AACA6" w:rsidR="00D94379" w:rsidRDefault="00D94379">
            <w:pPr>
              <w:pStyle w:val="TableInnerSideHeading"/>
            </w:pPr>
            <w:r>
              <w:rPr>
                <w:rFonts w:hint="cs"/>
                <w:rtl/>
              </w:rPr>
              <w:t>"</w:t>
            </w:r>
            <w:r w:rsidR="001D01B9">
              <w:rPr>
                <w:rFonts w:hint="cs"/>
                <w:rtl/>
              </w:rPr>
              <w:t>תביעה טרדנית או קנטרנית</w:t>
            </w:r>
          </w:p>
        </w:tc>
        <w:tc>
          <w:tcPr>
            <w:tcW w:w="624" w:type="dxa"/>
          </w:tcPr>
          <w:p w14:paraId="5410237C" w14:textId="616499CD" w:rsidR="00D94379" w:rsidRDefault="00D94379">
            <w:pPr>
              <w:pStyle w:val="TableText"/>
            </w:pPr>
            <w:r>
              <w:rPr>
                <w:rFonts w:hint="cs"/>
                <w:rtl/>
              </w:rPr>
              <w:t>3</w:t>
            </w:r>
            <w:r w:rsidR="00D0322D">
              <w:rPr>
                <w:rFonts w:hint="cs"/>
                <w:rtl/>
              </w:rPr>
              <w:t>ג</w:t>
            </w:r>
            <w:r w:rsidR="006F347F">
              <w:rPr>
                <w:rFonts w:hint="cs"/>
                <w:rtl/>
              </w:rPr>
              <w:t>.</w:t>
            </w:r>
          </w:p>
        </w:tc>
        <w:tc>
          <w:tcPr>
            <w:tcW w:w="4650" w:type="dxa"/>
            <w:gridSpan w:val="2"/>
          </w:tcPr>
          <w:p w14:paraId="0A2E2DE8" w14:textId="190DC585" w:rsidR="00D94379" w:rsidRDefault="00D94379">
            <w:pPr>
              <w:pStyle w:val="TableBlock"/>
            </w:pPr>
            <w:r>
              <w:rPr>
                <w:rFonts w:hint="cs"/>
                <w:rtl/>
              </w:rPr>
              <w:t xml:space="preserve">מצא בית המשפט כי הבקשה לאישור </w:t>
            </w:r>
            <w:r w:rsidR="00FE7BDE">
              <w:rPr>
                <w:rFonts w:hint="cs"/>
                <w:rtl/>
              </w:rPr>
              <w:t>ש</w:t>
            </w:r>
            <w:r w:rsidR="005D5EF1">
              <w:rPr>
                <w:rFonts w:hint="cs"/>
                <w:rtl/>
              </w:rPr>
              <w:t>הוגשה</w:t>
            </w:r>
            <w:r w:rsidR="00FE7BDE">
              <w:rPr>
                <w:rFonts w:hint="cs"/>
                <w:rtl/>
              </w:rPr>
              <w:t xml:space="preserve"> היא טרדנית או קנטרנית והיא</w:t>
            </w:r>
            <w:r w:rsidR="002D6790">
              <w:rPr>
                <w:rFonts w:hint="cs"/>
                <w:rtl/>
              </w:rPr>
              <w:t xml:space="preserve"> </w:t>
            </w:r>
            <w:r w:rsidR="005D5EF1">
              <w:rPr>
                <w:rFonts w:hint="cs"/>
                <w:rtl/>
              </w:rPr>
              <w:t>גר</w:t>
            </w:r>
            <w:r w:rsidR="00FE7BDE">
              <w:rPr>
                <w:rFonts w:hint="cs"/>
                <w:rtl/>
              </w:rPr>
              <w:t>מה</w:t>
            </w:r>
            <w:r w:rsidR="005D5EF1">
              <w:rPr>
                <w:rFonts w:hint="cs"/>
                <w:rtl/>
              </w:rPr>
              <w:t xml:space="preserve"> לפגיעה מזערית</w:t>
            </w:r>
            <w:r w:rsidR="00D130AD">
              <w:rPr>
                <w:rFonts w:hint="cs"/>
                <w:rtl/>
              </w:rPr>
              <w:t xml:space="preserve"> </w:t>
            </w:r>
            <w:r w:rsidR="005D5EF1">
              <w:rPr>
                <w:rFonts w:hint="cs"/>
                <w:rtl/>
              </w:rPr>
              <w:t>בחבר</w:t>
            </w:r>
            <w:r w:rsidR="00301D60">
              <w:rPr>
                <w:rFonts w:hint="cs"/>
                <w:rtl/>
              </w:rPr>
              <w:t>י</w:t>
            </w:r>
            <w:r w:rsidR="005D5EF1">
              <w:rPr>
                <w:rFonts w:hint="cs"/>
                <w:rtl/>
              </w:rPr>
              <w:t xml:space="preserve"> הקבוצה</w:t>
            </w:r>
            <w:r w:rsidR="002D4A59">
              <w:rPr>
                <w:rFonts w:hint="cs"/>
                <w:rtl/>
              </w:rPr>
              <w:t>, רשאי בית המשפט להורות על מחיקת הבקשה בכל עת."</w:t>
            </w:r>
            <w:r w:rsidR="005D5EF1">
              <w:rPr>
                <w:rFonts w:hint="cs"/>
                <w:rtl/>
              </w:rPr>
              <w:t xml:space="preserve">  </w:t>
            </w:r>
          </w:p>
        </w:tc>
      </w:tr>
      <w:tr w:rsidR="00533AEE" w14:paraId="26DD8901" w14:textId="77777777">
        <w:trPr>
          <w:cantSplit/>
          <w:trHeight w:val="60"/>
        </w:trPr>
        <w:tc>
          <w:tcPr>
            <w:tcW w:w="1871" w:type="dxa"/>
          </w:tcPr>
          <w:p w14:paraId="7F4FF4B1" w14:textId="0029534D" w:rsidR="00533AEE" w:rsidRDefault="00533AEE" w:rsidP="007E751D">
            <w:pPr>
              <w:pStyle w:val="TableSideHeading"/>
              <w:keepLines w:val="0"/>
            </w:pPr>
            <w:r>
              <w:rPr>
                <w:rFonts w:hint="cs"/>
                <w:rtl/>
              </w:rPr>
              <w:t>תיקון סעיף 4</w:t>
            </w:r>
          </w:p>
        </w:tc>
        <w:tc>
          <w:tcPr>
            <w:tcW w:w="624" w:type="dxa"/>
          </w:tcPr>
          <w:p w14:paraId="396B32BF" w14:textId="77777777" w:rsidR="00533AEE" w:rsidRDefault="00533AEE" w:rsidP="00461E2C">
            <w:pPr>
              <w:pStyle w:val="TableText"/>
              <w:keepLines w:val="0"/>
              <w:numPr>
                <w:ilvl w:val="0"/>
                <w:numId w:val="2"/>
              </w:numPr>
            </w:pPr>
          </w:p>
        </w:tc>
        <w:tc>
          <w:tcPr>
            <w:tcW w:w="7146" w:type="dxa"/>
            <w:gridSpan w:val="6"/>
          </w:tcPr>
          <w:p w14:paraId="60869A62" w14:textId="409A0005" w:rsidR="00A57190" w:rsidRPr="00C34DE2" w:rsidRDefault="00A57190" w:rsidP="00A57190">
            <w:pPr>
              <w:pStyle w:val="TableBlock"/>
              <w:keepLines w:val="0"/>
            </w:pPr>
            <w:r>
              <w:rPr>
                <w:rFonts w:hint="cs"/>
                <w:rtl/>
              </w:rPr>
              <w:t>בסעיף</w:t>
            </w:r>
            <w:r w:rsidR="00900817">
              <w:rPr>
                <w:rFonts w:hint="cs"/>
                <w:rtl/>
              </w:rPr>
              <w:t xml:space="preserve"> </w:t>
            </w:r>
            <w:r w:rsidR="00D16407">
              <w:rPr>
                <w:rFonts w:hint="cs"/>
                <w:rtl/>
              </w:rPr>
              <w:t xml:space="preserve">4 </w:t>
            </w:r>
            <w:r w:rsidR="00900817">
              <w:rPr>
                <w:rFonts w:hint="cs"/>
                <w:rtl/>
              </w:rPr>
              <w:t xml:space="preserve">לחוק העיקרי </w:t>
            </w:r>
            <w:r w:rsidR="00900817">
              <w:rPr>
                <w:rtl/>
              </w:rPr>
              <w:t>–</w:t>
            </w:r>
            <w:r w:rsidR="00900817">
              <w:rPr>
                <w:rFonts w:hint="cs"/>
                <w:rtl/>
              </w:rPr>
              <w:t xml:space="preserve"> </w:t>
            </w:r>
          </w:p>
        </w:tc>
      </w:tr>
      <w:tr w:rsidR="00900817" w14:paraId="0D4F76B4" w14:textId="77777777">
        <w:trPr>
          <w:cantSplit/>
          <w:trHeight w:val="60"/>
        </w:trPr>
        <w:tc>
          <w:tcPr>
            <w:tcW w:w="1871" w:type="dxa"/>
          </w:tcPr>
          <w:p w14:paraId="13C2C28A" w14:textId="77777777" w:rsidR="00900817" w:rsidRDefault="00900817">
            <w:pPr>
              <w:pStyle w:val="TableSideHeading"/>
            </w:pPr>
          </w:p>
        </w:tc>
        <w:tc>
          <w:tcPr>
            <w:tcW w:w="624" w:type="dxa"/>
          </w:tcPr>
          <w:p w14:paraId="31ADE7D3" w14:textId="77777777" w:rsidR="00900817" w:rsidRDefault="00900817">
            <w:pPr>
              <w:pStyle w:val="TableText"/>
            </w:pPr>
          </w:p>
        </w:tc>
        <w:tc>
          <w:tcPr>
            <w:tcW w:w="624" w:type="dxa"/>
          </w:tcPr>
          <w:p w14:paraId="77A34C43" w14:textId="77777777" w:rsidR="00900817" w:rsidRDefault="00900817">
            <w:pPr>
              <w:pStyle w:val="TableText"/>
            </w:pPr>
          </w:p>
        </w:tc>
        <w:tc>
          <w:tcPr>
            <w:tcW w:w="6522" w:type="dxa"/>
            <w:gridSpan w:val="5"/>
          </w:tcPr>
          <w:p w14:paraId="4EB19289" w14:textId="2660B30E" w:rsidR="00900817" w:rsidRDefault="00340E90" w:rsidP="00461E2C">
            <w:pPr>
              <w:pStyle w:val="TableBlock"/>
              <w:numPr>
                <w:ilvl w:val="0"/>
                <w:numId w:val="11"/>
              </w:numPr>
              <w:tabs>
                <w:tab w:val="left" w:pos="624"/>
              </w:tabs>
            </w:pPr>
            <w:r>
              <w:rPr>
                <w:rFonts w:hint="cs"/>
                <w:rtl/>
              </w:rPr>
              <w:t xml:space="preserve">בסעיף קטן (א)(1), אחרי </w:t>
            </w:r>
            <w:proofErr w:type="spellStart"/>
            <w:r>
              <w:rPr>
                <w:rFonts w:hint="cs"/>
                <w:rtl/>
              </w:rPr>
              <w:t>הסיפה</w:t>
            </w:r>
            <w:proofErr w:type="spellEnd"/>
            <w:r>
              <w:rPr>
                <w:rFonts w:hint="cs"/>
                <w:rtl/>
              </w:rPr>
              <w:t xml:space="preserve"> יבוא "ובלבד שלא הגיש יותר מחמש בקשות לאישור באותה שנה". </w:t>
            </w:r>
          </w:p>
        </w:tc>
      </w:tr>
      <w:tr w:rsidR="00340E90" w14:paraId="36801292" w14:textId="77777777">
        <w:trPr>
          <w:cantSplit/>
          <w:trHeight w:val="60"/>
        </w:trPr>
        <w:tc>
          <w:tcPr>
            <w:tcW w:w="1871" w:type="dxa"/>
          </w:tcPr>
          <w:p w14:paraId="1A0F5C4C" w14:textId="77777777" w:rsidR="00340E90" w:rsidRDefault="00340E90">
            <w:pPr>
              <w:pStyle w:val="TableSideHeading"/>
            </w:pPr>
          </w:p>
        </w:tc>
        <w:tc>
          <w:tcPr>
            <w:tcW w:w="624" w:type="dxa"/>
          </w:tcPr>
          <w:p w14:paraId="5A5491B2" w14:textId="77777777" w:rsidR="00340E90" w:rsidRDefault="00340E90" w:rsidP="00340E90">
            <w:pPr>
              <w:pStyle w:val="TableText"/>
            </w:pPr>
          </w:p>
        </w:tc>
        <w:tc>
          <w:tcPr>
            <w:tcW w:w="624" w:type="dxa"/>
          </w:tcPr>
          <w:p w14:paraId="79663B71" w14:textId="77777777" w:rsidR="00340E90" w:rsidRDefault="00340E90">
            <w:pPr>
              <w:pStyle w:val="TableText"/>
            </w:pPr>
          </w:p>
        </w:tc>
        <w:tc>
          <w:tcPr>
            <w:tcW w:w="6522" w:type="dxa"/>
            <w:gridSpan w:val="5"/>
          </w:tcPr>
          <w:p w14:paraId="62035FD3" w14:textId="15437038" w:rsidR="00340E90" w:rsidRDefault="00340E90" w:rsidP="00461E2C">
            <w:pPr>
              <w:pStyle w:val="TableBlock"/>
              <w:numPr>
                <w:ilvl w:val="0"/>
                <w:numId w:val="11"/>
              </w:numPr>
              <w:tabs>
                <w:tab w:val="left" w:pos="624"/>
              </w:tabs>
              <w:rPr>
                <w:rtl/>
              </w:rPr>
            </w:pPr>
            <w:r>
              <w:rPr>
                <w:rFonts w:hint="cs"/>
                <w:rtl/>
              </w:rPr>
              <w:t xml:space="preserve">בסעיף קטן (א)(3), </w:t>
            </w:r>
            <w:r w:rsidRPr="00A57190">
              <w:rPr>
                <w:rFonts w:hint="cs"/>
                <w:rtl/>
              </w:rPr>
              <w:t xml:space="preserve">תימחק </w:t>
            </w:r>
            <w:proofErr w:type="spellStart"/>
            <w:r w:rsidRPr="00A57190">
              <w:rPr>
                <w:rFonts w:hint="cs"/>
                <w:rtl/>
              </w:rPr>
              <w:t>הסיפה</w:t>
            </w:r>
            <w:proofErr w:type="spellEnd"/>
            <w:r w:rsidRPr="00A57190">
              <w:rPr>
                <w:rFonts w:hint="cs"/>
                <w:rtl/>
              </w:rPr>
              <w:t xml:space="preserve"> החל במילים "ובלבד שבית המשפט שוכנע כי"</w:t>
            </w:r>
            <w:r>
              <w:rPr>
                <w:rFonts w:hint="cs"/>
                <w:rtl/>
              </w:rPr>
              <w:t>.</w:t>
            </w:r>
          </w:p>
        </w:tc>
      </w:tr>
      <w:tr w:rsidR="00A21F4E" w14:paraId="05782566" w14:textId="77777777">
        <w:trPr>
          <w:cantSplit/>
          <w:trHeight w:val="60"/>
        </w:trPr>
        <w:tc>
          <w:tcPr>
            <w:tcW w:w="1871" w:type="dxa"/>
          </w:tcPr>
          <w:p w14:paraId="4D329A61" w14:textId="77777777" w:rsidR="00A21F4E" w:rsidRDefault="00A21F4E">
            <w:pPr>
              <w:pStyle w:val="TableSideHeading"/>
            </w:pPr>
          </w:p>
        </w:tc>
        <w:tc>
          <w:tcPr>
            <w:tcW w:w="624" w:type="dxa"/>
          </w:tcPr>
          <w:p w14:paraId="2959553B" w14:textId="77777777" w:rsidR="00A21F4E" w:rsidRDefault="00A21F4E" w:rsidP="00A21F4E">
            <w:pPr>
              <w:pStyle w:val="TableText"/>
            </w:pPr>
          </w:p>
        </w:tc>
        <w:tc>
          <w:tcPr>
            <w:tcW w:w="624" w:type="dxa"/>
          </w:tcPr>
          <w:p w14:paraId="632771AD" w14:textId="77777777" w:rsidR="00A21F4E" w:rsidRDefault="00A21F4E">
            <w:pPr>
              <w:pStyle w:val="TableText"/>
            </w:pPr>
          </w:p>
        </w:tc>
        <w:tc>
          <w:tcPr>
            <w:tcW w:w="6522" w:type="dxa"/>
            <w:gridSpan w:val="5"/>
          </w:tcPr>
          <w:p w14:paraId="7B40F15B" w14:textId="4A2DD051" w:rsidR="00A21F4E" w:rsidRDefault="00A21F4E" w:rsidP="00461E2C">
            <w:pPr>
              <w:pStyle w:val="TableBlock"/>
              <w:numPr>
                <w:ilvl w:val="0"/>
                <w:numId w:val="11"/>
              </w:numPr>
              <w:tabs>
                <w:tab w:val="left" w:pos="624"/>
              </w:tabs>
              <w:rPr>
                <w:rtl/>
              </w:rPr>
            </w:pPr>
            <w:r>
              <w:rPr>
                <w:rFonts w:hint="cs"/>
                <w:rtl/>
              </w:rPr>
              <w:t xml:space="preserve">בסעיף קטן (ב)(2), תימחק </w:t>
            </w:r>
            <w:proofErr w:type="spellStart"/>
            <w:r>
              <w:rPr>
                <w:rFonts w:hint="cs"/>
                <w:rtl/>
              </w:rPr>
              <w:t>הסיפה</w:t>
            </w:r>
            <w:proofErr w:type="spellEnd"/>
            <w:r>
              <w:rPr>
                <w:rFonts w:hint="cs"/>
                <w:rtl/>
              </w:rPr>
              <w:t xml:space="preserve"> החל במילים "לקבוצה" ובמקומה יבוא "כאמור"</w:t>
            </w:r>
            <w:r w:rsidR="0030519C">
              <w:rPr>
                <w:rFonts w:hint="cs"/>
                <w:rtl/>
              </w:rPr>
              <w:t>.</w:t>
            </w:r>
          </w:p>
        </w:tc>
      </w:tr>
      <w:tr w:rsidR="00A57190" w14:paraId="6823730F" w14:textId="77777777">
        <w:trPr>
          <w:cantSplit/>
          <w:trHeight w:val="60"/>
        </w:trPr>
        <w:tc>
          <w:tcPr>
            <w:tcW w:w="1871" w:type="dxa"/>
          </w:tcPr>
          <w:p w14:paraId="6A86504A" w14:textId="62C1DE78" w:rsidR="00A57190" w:rsidRDefault="00A57190" w:rsidP="007E751D">
            <w:pPr>
              <w:pStyle w:val="TableSideHeading"/>
              <w:keepLines w:val="0"/>
              <w:rPr>
                <w:rtl/>
              </w:rPr>
            </w:pPr>
            <w:r>
              <w:rPr>
                <w:rFonts w:hint="cs"/>
                <w:rtl/>
              </w:rPr>
              <w:t>תיקון סעיף 5</w:t>
            </w:r>
          </w:p>
        </w:tc>
        <w:tc>
          <w:tcPr>
            <w:tcW w:w="624" w:type="dxa"/>
          </w:tcPr>
          <w:p w14:paraId="3DC31554" w14:textId="381F0D55" w:rsidR="00A57190" w:rsidRDefault="00A57190" w:rsidP="00461E2C">
            <w:pPr>
              <w:pStyle w:val="TableText"/>
              <w:numPr>
                <w:ilvl w:val="0"/>
                <w:numId w:val="2"/>
              </w:numPr>
            </w:pPr>
          </w:p>
        </w:tc>
        <w:tc>
          <w:tcPr>
            <w:tcW w:w="7146" w:type="dxa"/>
            <w:gridSpan w:val="6"/>
          </w:tcPr>
          <w:p w14:paraId="00160752" w14:textId="3FA6D684" w:rsidR="00A57190" w:rsidRDefault="00A57190" w:rsidP="00D16407">
            <w:pPr>
              <w:pStyle w:val="TableBlock"/>
              <w:keepLines w:val="0"/>
              <w:rPr>
                <w:rtl/>
              </w:rPr>
            </w:pPr>
            <w:r>
              <w:rPr>
                <w:rFonts w:hint="cs"/>
                <w:rtl/>
              </w:rPr>
              <w:t xml:space="preserve">בסעיף </w:t>
            </w:r>
            <w:r w:rsidR="00D16407">
              <w:rPr>
                <w:rFonts w:hint="cs"/>
                <w:rtl/>
              </w:rPr>
              <w:t xml:space="preserve">5(ב) לחוק העיקרי - </w:t>
            </w:r>
            <w:r>
              <w:rPr>
                <w:rFonts w:hint="cs"/>
                <w:rtl/>
              </w:rPr>
              <w:t xml:space="preserve"> </w:t>
            </w:r>
          </w:p>
        </w:tc>
      </w:tr>
      <w:tr w:rsidR="00D16407" w14:paraId="490AE7B2" w14:textId="77777777">
        <w:trPr>
          <w:cantSplit/>
          <w:trHeight w:val="60"/>
        </w:trPr>
        <w:tc>
          <w:tcPr>
            <w:tcW w:w="1871" w:type="dxa"/>
          </w:tcPr>
          <w:p w14:paraId="4E1D7B56" w14:textId="77777777" w:rsidR="00D16407" w:rsidRDefault="00D16407">
            <w:pPr>
              <w:pStyle w:val="TableSideHeading"/>
            </w:pPr>
          </w:p>
        </w:tc>
        <w:tc>
          <w:tcPr>
            <w:tcW w:w="624" w:type="dxa"/>
          </w:tcPr>
          <w:p w14:paraId="5C116902" w14:textId="77777777" w:rsidR="00D16407" w:rsidRDefault="00D16407">
            <w:pPr>
              <w:pStyle w:val="TableText"/>
            </w:pPr>
          </w:p>
        </w:tc>
        <w:tc>
          <w:tcPr>
            <w:tcW w:w="624" w:type="dxa"/>
          </w:tcPr>
          <w:p w14:paraId="22F6589B" w14:textId="77777777" w:rsidR="00D16407" w:rsidRDefault="00D16407">
            <w:pPr>
              <w:pStyle w:val="TableText"/>
            </w:pPr>
          </w:p>
        </w:tc>
        <w:tc>
          <w:tcPr>
            <w:tcW w:w="6522" w:type="dxa"/>
            <w:gridSpan w:val="5"/>
          </w:tcPr>
          <w:p w14:paraId="5FB1F4D8" w14:textId="29EE9C5F" w:rsidR="00D16407" w:rsidRDefault="00D16407" w:rsidP="00C57EB2">
            <w:pPr>
              <w:pStyle w:val="TableBlock"/>
              <w:numPr>
                <w:ilvl w:val="0"/>
                <w:numId w:val="14"/>
              </w:numPr>
              <w:tabs>
                <w:tab w:val="left" w:pos="624"/>
              </w:tabs>
            </w:pPr>
            <w:r>
              <w:rPr>
                <w:rFonts w:hint="cs"/>
                <w:rtl/>
              </w:rPr>
              <w:t xml:space="preserve">בפסקה (1), תימחק </w:t>
            </w:r>
            <w:proofErr w:type="spellStart"/>
            <w:r>
              <w:rPr>
                <w:rFonts w:hint="cs"/>
                <w:rtl/>
              </w:rPr>
              <w:t>הסיפה</w:t>
            </w:r>
            <w:proofErr w:type="spellEnd"/>
            <w:r>
              <w:rPr>
                <w:rFonts w:hint="cs"/>
                <w:rtl/>
              </w:rPr>
              <w:t xml:space="preserve"> החל במילים ", </w:t>
            </w:r>
            <w:proofErr w:type="spellStart"/>
            <w:r>
              <w:rPr>
                <w:rFonts w:hint="cs"/>
                <w:rtl/>
              </w:rPr>
              <w:t>ולענין</w:t>
            </w:r>
            <w:proofErr w:type="spellEnd"/>
            <w:r>
              <w:rPr>
                <w:rFonts w:hint="cs"/>
                <w:rtl/>
              </w:rPr>
              <w:t xml:space="preserve"> הסמכות העניינית".</w:t>
            </w:r>
          </w:p>
        </w:tc>
      </w:tr>
      <w:tr w:rsidR="00D16407" w14:paraId="749DE463" w14:textId="77777777">
        <w:trPr>
          <w:cantSplit/>
          <w:trHeight w:val="60"/>
        </w:trPr>
        <w:tc>
          <w:tcPr>
            <w:tcW w:w="1871" w:type="dxa"/>
          </w:tcPr>
          <w:p w14:paraId="5744F733" w14:textId="77777777" w:rsidR="00D16407" w:rsidRDefault="00D16407">
            <w:pPr>
              <w:pStyle w:val="TableSideHeading"/>
            </w:pPr>
          </w:p>
        </w:tc>
        <w:tc>
          <w:tcPr>
            <w:tcW w:w="624" w:type="dxa"/>
          </w:tcPr>
          <w:p w14:paraId="0BCC42F6" w14:textId="77777777" w:rsidR="00D16407" w:rsidRDefault="00D16407" w:rsidP="00D16407">
            <w:pPr>
              <w:pStyle w:val="TableText"/>
            </w:pPr>
          </w:p>
        </w:tc>
        <w:tc>
          <w:tcPr>
            <w:tcW w:w="624" w:type="dxa"/>
          </w:tcPr>
          <w:p w14:paraId="36318C44" w14:textId="77777777" w:rsidR="00D16407" w:rsidRDefault="00D16407">
            <w:pPr>
              <w:pStyle w:val="TableText"/>
            </w:pPr>
          </w:p>
        </w:tc>
        <w:tc>
          <w:tcPr>
            <w:tcW w:w="6522" w:type="dxa"/>
            <w:gridSpan w:val="5"/>
          </w:tcPr>
          <w:p w14:paraId="25DEEFAF" w14:textId="0569A314" w:rsidR="00D16407" w:rsidRDefault="00D16407" w:rsidP="00C57EB2">
            <w:pPr>
              <w:pStyle w:val="TableBlock"/>
              <w:numPr>
                <w:ilvl w:val="0"/>
                <w:numId w:val="14"/>
              </w:numPr>
              <w:tabs>
                <w:tab w:val="left" w:pos="624"/>
              </w:tabs>
              <w:rPr>
                <w:rtl/>
              </w:rPr>
            </w:pPr>
            <w:r>
              <w:rPr>
                <w:rFonts w:hint="cs"/>
                <w:rtl/>
              </w:rPr>
              <w:t>במקום פסקה (2) יבוא:</w:t>
            </w:r>
          </w:p>
        </w:tc>
      </w:tr>
      <w:tr w:rsidR="00D16407" w14:paraId="74DACAA6" w14:textId="77777777">
        <w:trPr>
          <w:cantSplit/>
          <w:trHeight w:val="60"/>
        </w:trPr>
        <w:tc>
          <w:tcPr>
            <w:tcW w:w="1871" w:type="dxa"/>
          </w:tcPr>
          <w:p w14:paraId="40A1E924" w14:textId="77777777" w:rsidR="00D16407" w:rsidRDefault="00D16407">
            <w:pPr>
              <w:pStyle w:val="TableSideHeading"/>
            </w:pPr>
          </w:p>
        </w:tc>
        <w:tc>
          <w:tcPr>
            <w:tcW w:w="624" w:type="dxa"/>
          </w:tcPr>
          <w:p w14:paraId="1E79F0BB" w14:textId="77777777" w:rsidR="00D16407" w:rsidRDefault="00D16407">
            <w:pPr>
              <w:pStyle w:val="TableText"/>
            </w:pPr>
          </w:p>
        </w:tc>
        <w:tc>
          <w:tcPr>
            <w:tcW w:w="624" w:type="dxa"/>
          </w:tcPr>
          <w:p w14:paraId="471509EE" w14:textId="77777777" w:rsidR="00D16407" w:rsidRDefault="00D16407">
            <w:pPr>
              <w:pStyle w:val="TableText"/>
            </w:pPr>
          </w:p>
        </w:tc>
        <w:tc>
          <w:tcPr>
            <w:tcW w:w="624" w:type="dxa"/>
          </w:tcPr>
          <w:p w14:paraId="0D2ABAB1" w14:textId="77777777" w:rsidR="00D16407" w:rsidRDefault="00D16407">
            <w:pPr>
              <w:pStyle w:val="TableText"/>
            </w:pPr>
          </w:p>
        </w:tc>
        <w:tc>
          <w:tcPr>
            <w:tcW w:w="5898" w:type="dxa"/>
            <w:gridSpan w:val="4"/>
          </w:tcPr>
          <w:p w14:paraId="3B48D9DD" w14:textId="7442026D" w:rsidR="00D16407" w:rsidRDefault="00D16407" w:rsidP="00D16407">
            <w:pPr>
              <w:pStyle w:val="TableBlock"/>
            </w:pPr>
            <w:r>
              <w:rPr>
                <w:rFonts w:hint="cs"/>
                <w:rtl/>
              </w:rPr>
              <w:t xml:space="preserve">"(2) </w:t>
            </w:r>
            <w:r w:rsidRPr="00D16407">
              <w:rPr>
                <w:rtl/>
              </w:rPr>
              <w:t xml:space="preserve">בקשה לאישור בתביעה שהיא </w:t>
            </w:r>
            <w:r w:rsidR="00386A08" w:rsidRPr="00D16407">
              <w:rPr>
                <w:rtl/>
              </w:rPr>
              <w:t>אח</w:t>
            </w:r>
            <w:r w:rsidR="00386A08">
              <w:rPr>
                <w:rFonts w:hint="cs"/>
                <w:rtl/>
              </w:rPr>
              <w:t xml:space="preserve">ת </w:t>
            </w:r>
            <w:r w:rsidRPr="00D16407">
              <w:rPr>
                <w:rtl/>
              </w:rPr>
              <w:t xml:space="preserve">מאלה, תוגש לבית משפט לעניינים </w:t>
            </w:r>
            <w:proofErr w:type="spellStart"/>
            <w:r w:rsidRPr="00D16407">
              <w:rPr>
                <w:rFonts w:hint="eastAsia"/>
                <w:rtl/>
              </w:rPr>
              <w:t>מינהליים</w:t>
            </w:r>
            <w:proofErr w:type="spellEnd"/>
            <w:r w:rsidRPr="00D16407">
              <w:rPr>
                <w:rtl/>
              </w:rPr>
              <w:t>:</w:t>
            </w:r>
          </w:p>
        </w:tc>
      </w:tr>
      <w:tr w:rsidR="00D16407" w14:paraId="1F33B7E1" w14:textId="77777777">
        <w:trPr>
          <w:cantSplit/>
          <w:trHeight w:val="60"/>
        </w:trPr>
        <w:tc>
          <w:tcPr>
            <w:tcW w:w="1871" w:type="dxa"/>
          </w:tcPr>
          <w:p w14:paraId="1712ABC8" w14:textId="77777777" w:rsidR="00D16407" w:rsidRDefault="00D16407">
            <w:pPr>
              <w:pStyle w:val="TableSideHeading"/>
            </w:pPr>
          </w:p>
        </w:tc>
        <w:tc>
          <w:tcPr>
            <w:tcW w:w="624" w:type="dxa"/>
          </w:tcPr>
          <w:p w14:paraId="4254DED7" w14:textId="77777777" w:rsidR="00D16407" w:rsidRDefault="00D16407">
            <w:pPr>
              <w:pStyle w:val="TableText"/>
            </w:pPr>
          </w:p>
        </w:tc>
        <w:tc>
          <w:tcPr>
            <w:tcW w:w="624" w:type="dxa"/>
          </w:tcPr>
          <w:p w14:paraId="4CF5A703" w14:textId="77777777" w:rsidR="00D16407" w:rsidRDefault="00D16407">
            <w:pPr>
              <w:pStyle w:val="TableText"/>
            </w:pPr>
          </w:p>
        </w:tc>
        <w:tc>
          <w:tcPr>
            <w:tcW w:w="624" w:type="dxa"/>
          </w:tcPr>
          <w:p w14:paraId="0714EDD1" w14:textId="77777777" w:rsidR="00D16407" w:rsidRDefault="00D16407">
            <w:pPr>
              <w:pStyle w:val="TableText"/>
            </w:pPr>
          </w:p>
        </w:tc>
        <w:tc>
          <w:tcPr>
            <w:tcW w:w="624" w:type="dxa"/>
          </w:tcPr>
          <w:p w14:paraId="48F42897" w14:textId="77777777" w:rsidR="00D16407" w:rsidRDefault="00D16407">
            <w:pPr>
              <w:pStyle w:val="TableText"/>
            </w:pPr>
          </w:p>
        </w:tc>
        <w:tc>
          <w:tcPr>
            <w:tcW w:w="5274" w:type="dxa"/>
            <w:gridSpan w:val="3"/>
          </w:tcPr>
          <w:p w14:paraId="59C61580" w14:textId="418C36D9" w:rsidR="00D16407" w:rsidRPr="00D16407" w:rsidRDefault="00D16407" w:rsidP="00C57EB2">
            <w:pPr>
              <w:pStyle w:val="TableBlock"/>
              <w:numPr>
                <w:ilvl w:val="0"/>
                <w:numId w:val="15"/>
              </w:numPr>
              <w:tabs>
                <w:tab w:val="left" w:pos="624"/>
              </w:tabs>
            </w:pPr>
            <w:r w:rsidRPr="00D16407">
              <w:rPr>
                <w:rFonts w:hint="eastAsia"/>
                <w:rtl/>
              </w:rPr>
              <w:t>תביעה</w:t>
            </w:r>
            <w:r w:rsidRPr="00D16407">
              <w:rPr>
                <w:rtl/>
              </w:rPr>
              <w:t xml:space="preserve"> </w:t>
            </w:r>
            <w:r w:rsidRPr="00D16407">
              <w:rPr>
                <w:rFonts w:hint="eastAsia"/>
                <w:rtl/>
              </w:rPr>
              <w:t>נגד</w:t>
            </w:r>
            <w:r w:rsidRPr="00D16407">
              <w:rPr>
                <w:rtl/>
              </w:rPr>
              <w:t xml:space="preserve"> </w:t>
            </w:r>
            <w:r w:rsidRPr="00D16407">
              <w:rPr>
                <w:rFonts w:hint="eastAsia"/>
                <w:rtl/>
              </w:rPr>
              <w:t>רשות</w:t>
            </w:r>
            <w:r w:rsidRPr="00D16407">
              <w:rPr>
                <w:rtl/>
              </w:rPr>
              <w:t xml:space="preserve"> </w:t>
            </w:r>
            <w:r w:rsidRPr="00D16407">
              <w:rPr>
                <w:rFonts w:hint="eastAsia"/>
                <w:rtl/>
              </w:rPr>
              <w:t>בתביעה</w:t>
            </w:r>
            <w:r w:rsidRPr="00D16407">
              <w:rPr>
                <w:rtl/>
              </w:rPr>
              <w:t xml:space="preserve"> </w:t>
            </w:r>
            <w:r w:rsidRPr="00D16407">
              <w:rPr>
                <w:rFonts w:hint="eastAsia"/>
                <w:rtl/>
              </w:rPr>
              <w:t>שעילתה</w:t>
            </w:r>
            <w:r w:rsidRPr="00D16407">
              <w:rPr>
                <w:rtl/>
              </w:rPr>
              <w:t xml:space="preserve"> </w:t>
            </w:r>
            <w:r w:rsidRPr="00D16407">
              <w:rPr>
                <w:rFonts w:hint="eastAsia"/>
                <w:rtl/>
              </w:rPr>
              <w:t>החלטה</w:t>
            </w:r>
            <w:r w:rsidRPr="00D16407">
              <w:rPr>
                <w:rtl/>
              </w:rPr>
              <w:t xml:space="preserve"> </w:t>
            </w:r>
            <w:r w:rsidRPr="00D16407">
              <w:rPr>
                <w:rFonts w:hint="eastAsia"/>
                <w:rtl/>
              </w:rPr>
              <w:t>של</w:t>
            </w:r>
            <w:r w:rsidRPr="00D16407">
              <w:rPr>
                <w:rtl/>
              </w:rPr>
              <w:t xml:space="preserve"> </w:t>
            </w:r>
            <w:r w:rsidRPr="00D16407">
              <w:rPr>
                <w:rFonts w:hint="eastAsia"/>
                <w:rtl/>
              </w:rPr>
              <w:t>רשות</w:t>
            </w:r>
            <w:r w:rsidRPr="00D16407">
              <w:rPr>
                <w:rtl/>
              </w:rPr>
              <w:t xml:space="preserve"> ושהסעד המבוקש בה הוא פיצויים או השבה, לרבות השבת סכומים שגבתה הרשות כמס, אגרה או תשלום חובה אחר; לעניין זה, "החלטה של רשות"- כהגדרתה בסעיף 2 לחוק בתי משפט לעניינים </w:t>
            </w:r>
            <w:proofErr w:type="spellStart"/>
            <w:r w:rsidRPr="00D16407">
              <w:rPr>
                <w:rFonts w:hint="eastAsia"/>
                <w:rtl/>
              </w:rPr>
              <w:t>מינהליים</w:t>
            </w:r>
            <w:proofErr w:type="spellEnd"/>
            <w:r w:rsidRPr="00D16407">
              <w:rPr>
                <w:rtl/>
              </w:rPr>
              <w:t>;</w:t>
            </w:r>
          </w:p>
        </w:tc>
      </w:tr>
      <w:tr w:rsidR="00D16407" w14:paraId="59D38B3C" w14:textId="77777777">
        <w:trPr>
          <w:cantSplit/>
          <w:trHeight w:val="60"/>
        </w:trPr>
        <w:tc>
          <w:tcPr>
            <w:tcW w:w="1871" w:type="dxa"/>
          </w:tcPr>
          <w:p w14:paraId="1F4D3FE5" w14:textId="77777777" w:rsidR="00D16407" w:rsidRDefault="00D16407">
            <w:pPr>
              <w:pStyle w:val="TableSideHeading"/>
            </w:pPr>
          </w:p>
        </w:tc>
        <w:tc>
          <w:tcPr>
            <w:tcW w:w="624" w:type="dxa"/>
          </w:tcPr>
          <w:p w14:paraId="7198EDA9" w14:textId="77777777" w:rsidR="00D16407" w:rsidRDefault="00D16407" w:rsidP="00D16407">
            <w:pPr>
              <w:pStyle w:val="TableText"/>
            </w:pPr>
          </w:p>
        </w:tc>
        <w:tc>
          <w:tcPr>
            <w:tcW w:w="624" w:type="dxa"/>
          </w:tcPr>
          <w:p w14:paraId="12E25273" w14:textId="77777777" w:rsidR="00D16407" w:rsidRDefault="00D16407">
            <w:pPr>
              <w:pStyle w:val="TableText"/>
            </w:pPr>
          </w:p>
        </w:tc>
        <w:tc>
          <w:tcPr>
            <w:tcW w:w="624" w:type="dxa"/>
          </w:tcPr>
          <w:p w14:paraId="0F81C88B" w14:textId="77777777" w:rsidR="00D16407" w:rsidRDefault="00D16407">
            <w:pPr>
              <w:pStyle w:val="TableText"/>
            </w:pPr>
          </w:p>
        </w:tc>
        <w:tc>
          <w:tcPr>
            <w:tcW w:w="624" w:type="dxa"/>
          </w:tcPr>
          <w:p w14:paraId="00F729E8" w14:textId="77777777" w:rsidR="00D16407" w:rsidRDefault="00D16407">
            <w:pPr>
              <w:pStyle w:val="TableText"/>
            </w:pPr>
          </w:p>
        </w:tc>
        <w:tc>
          <w:tcPr>
            <w:tcW w:w="5274" w:type="dxa"/>
            <w:gridSpan w:val="3"/>
          </w:tcPr>
          <w:p w14:paraId="250F5F9B" w14:textId="548AFD41" w:rsidR="00D16407" w:rsidRPr="00D16407" w:rsidRDefault="00D16407" w:rsidP="00C57EB2">
            <w:pPr>
              <w:pStyle w:val="TableBlock"/>
              <w:numPr>
                <w:ilvl w:val="0"/>
                <w:numId w:val="15"/>
              </w:numPr>
              <w:tabs>
                <w:tab w:val="left" w:pos="624"/>
              </w:tabs>
              <w:rPr>
                <w:rtl/>
              </w:rPr>
            </w:pPr>
            <w:r w:rsidRPr="00D16407">
              <w:rPr>
                <w:rFonts w:hint="eastAsia"/>
                <w:rtl/>
              </w:rPr>
              <w:t>תביעה</w:t>
            </w:r>
            <w:r w:rsidRPr="00D16407">
              <w:rPr>
                <w:rtl/>
              </w:rPr>
              <w:t xml:space="preserve"> נגד רשות </w:t>
            </w:r>
            <w:r w:rsidRPr="00D16407">
              <w:rPr>
                <w:rFonts w:hint="eastAsia"/>
                <w:rtl/>
              </w:rPr>
              <w:t>מקרקעי</w:t>
            </w:r>
            <w:r w:rsidRPr="00D16407">
              <w:rPr>
                <w:rtl/>
              </w:rPr>
              <w:t xml:space="preserve"> ישראל </w:t>
            </w:r>
            <w:r w:rsidRPr="00D16407">
              <w:rPr>
                <w:rFonts w:hint="eastAsia"/>
                <w:rtl/>
              </w:rPr>
              <w:t>בתביעה</w:t>
            </w:r>
            <w:r w:rsidRPr="00D16407">
              <w:rPr>
                <w:rtl/>
              </w:rPr>
              <w:t xml:space="preserve"> </w:t>
            </w:r>
            <w:r w:rsidRPr="00D16407">
              <w:rPr>
                <w:rFonts w:hint="eastAsia"/>
                <w:rtl/>
              </w:rPr>
              <w:t>שעילתה</w:t>
            </w:r>
            <w:r w:rsidRPr="00D16407">
              <w:rPr>
                <w:rtl/>
              </w:rPr>
              <w:t xml:space="preserve"> השבת סכומים </w:t>
            </w:r>
            <w:r w:rsidRPr="00D16407">
              <w:rPr>
                <w:rFonts w:hint="eastAsia"/>
                <w:rtl/>
              </w:rPr>
              <w:t>כאמור</w:t>
            </w:r>
            <w:r w:rsidRPr="00D16407">
              <w:rPr>
                <w:rtl/>
              </w:rPr>
              <w:t xml:space="preserve"> בפרט 15;</w:t>
            </w:r>
          </w:p>
        </w:tc>
      </w:tr>
      <w:tr w:rsidR="00D16407" w14:paraId="2CC6C9C3" w14:textId="77777777">
        <w:trPr>
          <w:cantSplit/>
          <w:trHeight w:val="60"/>
        </w:trPr>
        <w:tc>
          <w:tcPr>
            <w:tcW w:w="1871" w:type="dxa"/>
          </w:tcPr>
          <w:p w14:paraId="767B9A8E" w14:textId="77777777" w:rsidR="00D16407" w:rsidRDefault="00D16407">
            <w:pPr>
              <w:pStyle w:val="TableSideHeading"/>
            </w:pPr>
          </w:p>
        </w:tc>
        <w:tc>
          <w:tcPr>
            <w:tcW w:w="624" w:type="dxa"/>
          </w:tcPr>
          <w:p w14:paraId="7EE5222F" w14:textId="77777777" w:rsidR="00D16407" w:rsidRDefault="00D16407" w:rsidP="00D16407">
            <w:pPr>
              <w:pStyle w:val="TableText"/>
            </w:pPr>
          </w:p>
        </w:tc>
        <w:tc>
          <w:tcPr>
            <w:tcW w:w="624" w:type="dxa"/>
          </w:tcPr>
          <w:p w14:paraId="375D54CB" w14:textId="77777777" w:rsidR="00D16407" w:rsidRDefault="00D16407">
            <w:pPr>
              <w:pStyle w:val="TableText"/>
            </w:pPr>
          </w:p>
        </w:tc>
        <w:tc>
          <w:tcPr>
            <w:tcW w:w="624" w:type="dxa"/>
          </w:tcPr>
          <w:p w14:paraId="128AC2FF" w14:textId="77777777" w:rsidR="00D16407" w:rsidRDefault="00D16407">
            <w:pPr>
              <w:pStyle w:val="TableText"/>
            </w:pPr>
          </w:p>
        </w:tc>
        <w:tc>
          <w:tcPr>
            <w:tcW w:w="624" w:type="dxa"/>
          </w:tcPr>
          <w:p w14:paraId="70675C8B" w14:textId="77777777" w:rsidR="00D16407" w:rsidRDefault="00D16407">
            <w:pPr>
              <w:pStyle w:val="TableText"/>
            </w:pPr>
          </w:p>
        </w:tc>
        <w:tc>
          <w:tcPr>
            <w:tcW w:w="5274" w:type="dxa"/>
            <w:gridSpan w:val="3"/>
          </w:tcPr>
          <w:p w14:paraId="48562B45" w14:textId="3642DA81" w:rsidR="00D16407" w:rsidRPr="00D16407" w:rsidRDefault="00D16407" w:rsidP="00C57EB2">
            <w:pPr>
              <w:pStyle w:val="TableBlock"/>
              <w:numPr>
                <w:ilvl w:val="0"/>
                <w:numId w:val="15"/>
              </w:numPr>
              <w:tabs>
                <w:tab w:val="left" w:pos="624"/>
              </w:tabs>
              <w:rPr>
                <w:rtl/>
              </w:rPr>
            </w:pPr>
            <w:r w:rsidRPr="00D16407">
              <w:rPr>
                <w:rFonts w:hint="eastAsia"/>
                <w:rtl/>
              </w:rPr>
              <w:t>תביעה</w:t>
            </w:r>
            <w:r w:rsidRPr="00D16407">
              <w:rPr>
                <w:rtl/>
              </w:rPr>
              <w:t xml:space="preserve"> נגד תאגיד </w:t>
            </w:r>
            <w:r w:rsidRPr="00D16407">
              <w:rPr>
                <w:rFonts w:hint="eastAsia"/>
                <w:rtl/>
              </w:rPr>
              <w:t>מים</w:t>
            </w:r>
            <w:r w:rsidRPr="00D16407">
              <w:rPr>
                <w:rtl/>
              </w:rPr>
              <w:t xml:space="preserve"> וביוב בתביעה שעילתה </w:t>
            </w:r>
            <w:r w:rsidRPr="00D16407">
              <w:rPr>
                <w:rFonts w:hint="eastAsia"/>
                <w:rtl/>
              </w:rPr>
              <w:t>השבת</w:t>
            </w:r>
            <w:r w:rsidRPr="00D16407">
              <w:rPr>
                <w:rtl/>
              </w:rPr>
              <w:t xml:space="preserve"> </w:t>
            </w:r>
            <w:r w:rsidRPr="00D16407">
              <w:rPr>
                <w:rFonts w:hint="eastAsia"/>
                <w:rtl/>
              </w:rPr>
              <w:t>סכומים</w:t>
            </w:r>
            <w:r w:rsidRPr="00D16407">
              <w:rPr>
                <w:rtl/>
              </w:rPr>
              <w:t xml:space="preserve"> </w:t>
            </w:r>
            <w:r w:rsidRPr="00D16407">
              <w:rPr>
                <w:rFonts w:hint="eastAsia"/>
                <w:rtl/>
              </w:rPr>
              <w:t>כ</w:t>
            </w:r>
            <w:r w:rsidRPr="00D16407">
              <w:rPr>
                <w:rFonts w:hint="cs"/>
                <w:rtl/>
              </w:rPr>
              <w:t>אמור</w:t>
            </w:r>
            <w:r w:rsidRPr="00D16407">
              <w:rPr>
                <w:rtl/>
              </w:rPr>
              <w:t xml:space="preserve"> </w:t>
            </w:r>
            <w:r w:rsidRPr="00D16407">
              <w:rPr>
                <w:rFonts w:hint="eastAsia"/>
                <w:rtl/>
              </w:rPr>
              <w:t>בפרט</w:t>
            </w:r>
            <w:r w:rsidRPr="00D16407">
              <w:rPr>
                <w:rFonts w:hint="cs"/>
                <w:rtl/>
              </w:rPr>
              <w:t xml:space="preserve"> 16</w:t>
            </w:r>
            <w:r w:rsidRPr="00D16407">
              <w:rPr>
                <w:rtl/>
              </w:rPr>
              <w:t>.";</w:t>
            </w:r>
          </w:p>
        </w:tc>
      </w:tr>
      <w:tr w:rsidR="00A57190" w14:paraId="61737316" w14:textId="77777777">
        <w:trPr>
          <w:cantSplit/>
          <w:trHeight w:val="60"/>
        </w:trPr>
        <w:tc>
          <w:tcPr>
            <w:tcW w:w="1871" w:type="dxa"/>
          </w:tcPr>
          <w:p w14:paraId="0E5AFDA2" w14:textId="087A7F74" w:rsidR="00A57190" w:rsidRDefault="00A57190" w:rsidP="007E751D">
            <w:pPr>
              <w:pStyle w:val="TableSideHeading"/>
              <w:keepLines w:val="0"/>
              <w:rPr>
                <w:rtl/>
              </w:rPr>
            </w:pPr>
            <w:r>
              <w:rPr>
                <w:rFonts w:hint="cs"/>
                <w:rtl/>
              </w:rPr>
              <w:t>תיקון סעיף 7</w:t>
            </w:r>
          </w:p>
        </w:tc>
        <w:tc>
          <w:tcPr>
            <w:tcW w:w="624" w:type="dxa"/>
          </w:tcPr>
          <w:p w14:paraId="53C0DB9C" w14:textId="4BF85332" w:rsidR="00A57190" w:rsidRDefault="00A57190" w:rsidP="00461E2C">
            <w:pPr>
              <w:pStyle w:val="TableText"/>
              <w:numPr>
                <w:ilvl w:val="0"/>
                <w:numId w:val="2"/>
              </w:numPr>
            </w:pPr>
          </w:p>
        </w:tc>
        <w:tc>
          <w:tcPr>
            <w:tcW w:w="7146" w:type="dxa"/>
            <w:gridSpan w:val="6"/>
          </w:tcPr>
          <w:p w14:paraId="28B5CC83" w14:textId="42C836DA" w:rsidR="00A57190" w:rsidRDefault="00180352" w:rsidP="00A57190">
            <w:pPr>
              <w:pStyle w:val="TableBlock"/>
              <w:keepLines w:val="0"/>
              <w:rPr>
                <w:rtl/>
              </w:rPr>
            </w:pPr>
            <w:r>
              <w:rPr>
                <w:rFonts w:hint="cs"/>
                <w:rtl/>
              </w:rPr>
              <w:t xml:space="preserve">בסעיף 7 לחוק העיקרי, אחרי סעיף </w:t>
            </w:r>
            <w:r w:rsidR="00532A66">
              <w:rPr>
                <w:rFonts w:hint="cs"/>
                <w:rtl/>
              </w:rPr>
              <w:t>(ב) יבוא:</w:t>
            </w:r>
          </w:p>
        </w:tc>
      </w:tr>
      <w:tr w:rsidR="00532A66" w14:paraId="01D1A452" w14:textId="77777777">
        <w:trPr>
          <w:cantSplit/>
          <w:trHeight w:val="60"/>
        </w:trPr>
        <w:tc>
          <w:tcPr>
            <w:tcW w:w="1871" w:type="dxa"/>
          </w:tcPr>
          <w:p w14:paraId="6F05AD89" w14:textId="77777777" w:rsidR="00532A66" w:rsidRDefault="00532A66">
            <w:pPr>
              <w:pStyle w:val="TableSideHeading"/>
            </w:pPr>
          </w:p>
        </w:tc>
        <w:tc>
          <w:tcPr>
            <w:tcW w:w="624" w:type="dxa"/>
          </w:tcPr>
          <w:p w14:paraId="47DF41E0" w14:textId="77777777" w:rsidR="00532A66" w:rsidRDefault="00532A66">
            <w:pPr>
              <w:pStyle w:val="TableText"/>
            </w:pPr>
          </w:p>
        </w:tc>
        <w:tc>
          <w:tcPr>
            <w:tcW w:w="624" w:type="dxa"/>
          </w:tcPr>
          <w:p w14:paraId="5AEF17CC" w14:textId="77777777" w:rsidR="00532A66" w:rsidRDefault="00532A66">
            <w:pPr>
              <w:pStyle w:val="TableText"/>
            </w:pPr>
          </w:p>
        </w:tc>
        <w:tc>
          <w:tcPr>
            <w:tcW w:w="6522" w:type="dxa"/>
            <w:gridSpan w:val="5"/>
          </w:tcPr>
          <w:p w14:paraId="2170DCC1" w14:textId="4D7D62B9" w:rsidR="00532A66" w:rsidRDefault="00532A66" w:rsidP="004E4F67">
            <w:pPr>
              <w:pStyle w:val="TableBlock"/>
            </w:pPr>
            <w:r>
              <w:rPr>
                <w:rFonts w:hint="cs"/>
                <w:rtl/>
              </w:rPr>
              <w:t xml:space="preserve">"(ב1) בבקשה לאישור או תובענה ייצוגית בתביעה כמפורט בפרט 4א או 5 לתוספת </w:t>
            </w:r>
            <w:proofErr w:type="spellStart"/>
            <w:r>
              <w:rPr>
                <w:rFonts w:hint="cs"/>
                <w:rtl/>
              </w:rPr>
              <w:t>השניה</w:t>
            </w:r>
            <w:proofErr w:type="spellEnd"/>
            <w:r>
              <w:rPr>
                <w:rFonts w:hint="cs"/>
                <w:rtl/>
              </w:rPr>
              <w:t xml:space="preserve">, </w:t>
            </w:r>
            <w:r w:rsidR="00386A08">
              <w:rPr>
                <w:rFonts w:hint="cs"/>
                <w:rtl/>
              </w:rPr>
              <w:t xml:space="preserve">יבחן </w:t>
            </w:r>
            <w:r>
              <w:rPr>
                <w:rFonts w:hint="cs"/>
                <w:rtl/>
              </w:rPr>
              <w:t>בית המשפט</w:t>
            </w:r>
            <w:r w:rsidR="00386A08">
              <w:rPr>
                <w:rFonts w:hint="cs"/>
                <w:rtl/>
              </w:rPr>
              <w:t>,</w:t>
            </w:r>
            <w:r>
              <w:rPr>
                <w:rFonts w:hint="cs"/>
                <w:rtl/>
              </w:rPr>
              <w:t xml:space="preserve"> בנוסף לשיקולים המנויים בסעיף קטן (ב), גם מי מהמבקשים או מהתובעים הייצוגיים הוא בעל האינטרס</w:t>
            </w:r>
            <w:r w:rsidR="004E4F67">
              <w:rPr>
                <w:rFonts w:hint="cs"/>
                <w:rtl/>
              </w:rPr>
              <w:t xml:space="preserve"> הכספי הגדול ביותר </w:t>
            </w:r>
            <w:r>
              <w:rPr>
                <w:rFonts w:hint="cs"/>
                <w:rtl/>
              </w:rPr>
              <w:t>בסעד המבוקש על ידי הקבוצה."</w:t>
            </w:r>
          </w:p>
        </w:tc>
      </w:tr>
      <w:tr w:rsidR="00532A66" w14:paraId="105900F3" w14:textId="77777777">
        <w:trPr>
          <w:cantSplit/>
          <w:trHeight w:val="60"/>
        </w:trPr>
        <w:tc>
          <w:tcPr>
            <w:tcW w:w="1871" w:type="dxa"/>
          </w:tcPr>
          <w:p w14:paraId="56F8135C" w14:textId="1B9E4E1F" w:rsidR="00532A66" w:rsidRDefault="00532A66" w:rsidP="007E751D">
            <w:pPr>
              <w:pStyle w:val="TableSideHeading"/>
              <w:keepLines w:val="0"/>
            </w:pPr>
            <w:r>
              <w:rPr>
                <w:rFonts w:hint="cs"/>
                <w:rtl/>
              </w:rPr>
              <w:t>הוספת סעיף 8א</w:t>
            </w:r>
          </w:p>
        </w:tc>
        <w:tc>
          <w:tcPr>
            <w:tcW w:w="624" w:type="dxa"/>
          </w:tcPr>
          <w:p w14:paraId="060BA29E" w14:textId="77777777" w:rsidR="00532A66" w:rsidRDefault="00532A66" w:rsidP="00461E2C">
            <w:pPr>
              <w:pStyle w:val="TableText"/>
              <w:keepLines w:val="0"/>
              <w:numPr>
                <w:ilvl w:val="0"/>
                <w:numId w:val="2"/>
              </w:numPr>
            </w:pPr>
          </w:p>
        </w:tc>
        <w:tc>
          <w:tcPr>
            <w:tcW w:w="7146" w:type="dxa"/>
            <w:gridSpan w:val="6"/>
          </w:tcPr>
          <w:p w14:paraId="076A33FC" w14:textId="03B364C2" w:rsidR="00532A66" w:rsidRPr="00C34DE2" w:rsidRDefault="00532A66" w:rsidP="007E751D">
            <w:pPr>
              <w:pStyle w:val="TableBlock"/>
              <w:keepLines w:val="0"/>
            </w:pPr>
            <w:r>
              <w:rPr>
                <w:rFonts w:hint="cs"/>
                <w:rtl/>
              </w:rPr>
              <w:t>אחרי סעיף 8 לחוק העיקרי יבוא:</w:t>
            </w:r>
          </w:p>
        </w:tc>
      </w:tr>
      <w:tr w:rsidR="001F7074" w14:paraId="10F52C1E" w14:textId="77777777">
        <w:trPr>
          <w:cantSplit/>
          <w:trHeight w:val="60"/>
        </w:trPr>
        <w:tc>
          <w:tcPr>
            <w:tcW w:w="1871" w:type="dxa"/>
          </w:tcPr>
          <w:p w14:paraId="55449636" w14:textId="53B6E66F" w:rsidR="00AF2DD5" w:rsidRDefault="00AF2DD5" w:rsidP="00AC586F">
            <w:pPr>
              <w:pStyle w:val="TableSideHeading"/>
              <w:ind w:left="408"/>
            </w:pPr>
          </w:p>
        </w:tc>
        <w:tc>
          <w:tcPr>
            <w:tcW w:w="624" w:type="dxa"/>
          </w:tcPr>
          <w:p w14:paraId="43437D3E" w14:textId="77777777" w:rsidR="001F7074" w:rsidRDefault="001F7074">
            <w:pPr>
              <w:pStyle w:val="TableText"/>
              <w:keepLines w:val="0"/>
            </w:pPr>
          </w:p>
        </w:tc>
        <w:tc>
          <w:tcPr>
            <w:tcW w:w="1872" w:type="dxa"/>
            <w:gridSpan w:val="3"/>
          </w:tcPr>
          <w:p w14:paraId="0F289562" w14:textId="37D9A1C5" w:rsidR="001F7074" w:rsidRDefault="001F7074">
            <w:pPr>
              <w:pStyle w:val="TableInnerSideHeading"/>
              <w:rPr>
                <w:rtl/>
              </w:rPr>
            </w:pPr>
            <w:r>
              <w:rPr>
                <w:rFonts w:hint="cs"/>
                <w:rtl/>
              </w:rPr>
              <w:t>"</w:t>
            </w:r>
            <w:r w:rsidR="00AF2DD5">
              <w:rPr>
                <w:rFonts w:hint="cs"/>
                <w:rtl/>
              </w:rPr>
              <w:t>בקשה לאישור נגד מבטח או חברה מנהלת</w:t>
            </w:r>
          </w:p>
        </w:tc>
        <w:tc>
          <w:tcPr>
            <w:tcW w:w="624" w:type="dxa"/>
          </w:tcPr>
          <w:p w14:paraId="22F78C9F" w14:textId="6FE5286C" w:rsidR="001F7074" w:rsidRDefault="00AF2DD5">
            <w:pPr>
              <w:pStyle w:val="TableText"/>
            </w:pPr>
            <w:r>
              <w:rPr>
                <w:rFonts w:hint="cs"/>
                <w:rtl/>
              </w:rPr>
              <w:t>8א.</w:t>
            </w:r>
          </w:p>
        </w:tc>
        <w:tc>
          <w:tcPr>
            <w:tcW w:w="4650" w:type="dxa"/>
            <w:gridSpan w:val="2"/>
          </w:tcPr>
          <w:p w14:paraId="0DDA7633" w14:textId="3F16FAEE" w:rsidR="00AF2DD5" w:rsidRPr="00AF2DD5" w:rsidRDefault="00AF2DD5" w:rsidP="00461E2C">
            <w:pPr>
              <w:pStyle w:val="TableBlock"/>
              <w:numPr>
                <w:ilvl w:val="0"/>
                <w:numId w:val="9"/>
              </w:numPr>
              <w:tabs>
                <w:tab w:val="left" w:pos="624"/>
              </w:tabs>
              <w:rPr>
                <w:snapToGrid/>
              </w:rPr>
            </w:pPr>
            <w:r>
              <w:rPr>
                <w:rFonts w:hint="cs"/>
                <w:rtl/>
              </w:rPr>
              <w:t xml:space="preserve">בבקשה לאישור נגד </w:t>
            </w:r>
            <w:r w:rsidRPr="00AF2DD5">
              <w:rPr>
                <w:rFonts w:hint="cs"/>
                <w:snapToGrid/>
                <w:rtl/>
              </w:rPr>
              <w:t>מבטח או חברה מנהלת שעילתה היא הפרה של חוזה ארוך טווח, ישקול בית המשפט בהחלטתו לפי סעיף 8(א)(2)</w:t>
            </w:r>
            <w:r>
              <w:rPr>
                <w:rFonts w:hint="cs"/>
                <w:snapToGrid/>
                <w:rtl/>
              </w:rPr>
              <w:t xml:space="preserve">, בין היתר, את אלה - </w:t>
            </w:r>
          </w:p>
        </w:tc>
      </w:tr>
      <w:tr w:rsidR="00AF2DD5" w14:paraId="441356A3" w14:textId="77777777">
        <w:trPr>
          <w:cantSplit/>
          <w:trHeight w:val="60"/>
        </w:trPr>
        <w:tc>
          <w:tcPr>
            <w:tcW w:w="1871" w:type="dxa"/>
          </w:tcPr>
          <w:p w14:paraId="6030D1A9" w14:textId="77777777" w:rsidR="00AF2DD5" w:rsidRDefault="00AF2DD5">
            <w:pPr>
              <w:pStyle w:val="TableSideHeading"/>
            </w:pPr>
          </w:p>
        </w:tc>
        <w:tc>
          <w:tcPr>
            <w:tcW w:w="624" w:type="dxa"/>
          </w:tcPr>
          <w:p w14:paraId="4BE82C97" w14:textId="77777777" w:rsidR="00AF2DD5" w:rsidRDefault="00AF2DD5">
            <w:pPr>
              <w:pStyle w:val="TableText"/>
            </w:pPr>
          </w:p>
        </w:tc>
        <w:tc>
          <w:tcPr>
            <w:tcW w:w="624" w:type="dxa"/>
          </w:tcPr>
          <w:p w14:paraId="250381C9" w14:textId="77777777" w:rsidR="00AF2DD5" w:rsidRDefault="00AF2DD5">
            <w:pPr>
              <w:pStyle w:val="TableText"/>
            </w:pPr>
          </w:p>
        </w:tc>
        <w:tc>
          <w:tcPr>
            <w:tcW w:w="624" w:type="dxa"/>
          </w:tcPr>
          <w:p w14:paraId="1296C933" w14:textId="77777777" w:rsidR="00AF2DD5" w:rsidRDefault="00AF2DD5">
            <w:pPr>
              <w:pStyle w:val="TableText"/>
            </w:pPr>
          </w:p>
        </w:tc>
        <w:tc>
          <w:tcPr>
            <w:tcW w:w="624" w:type="dxa"/>
          </w:tcPr>
          <w:p w14:paraId="3DB16073" w14:textId="77777777" w:rsidR="00AF2DD5" w:rsidRDefault="00AF2DD5">
            <w:pPr>
              <w:pStyle w:val="TableText"/>
            </w:pPr>
          </w:p>
        </w:tc>
        <w:tc>
          <w:tcPr>
            <w:tcW w:w="624" w:type="dxa"/>
          </w:tcPr>
          <w:p w14:paraId="58CDFB16" w14:textId="77777777" w:rsidR="00AF2DD5" w:rsidRDefault="00AF2DD5">
            <w:pPr>
              <w:pStyle w:val="TableText"/>
            </w:pPr>
          </w:p>
        </w:tc>
        <w:tc>
          <w:tcPr>
            <w:tcW w:w="624" w:type="dxa"/>
          </w:tcPr>
          <w:p w14:paraId="712656A0" w14:textId="77777777" w:rsidR="00AF2DD5" w:rsidRDefault="00AF2DD5">
            <w:pPr>
              <w:pStyle w:val="TableText"/>
            </w:pPr>
          </w:p>
        </w:tc>
        <w:tc>
          <w:tcPr>
            <w:tcW w:w="4026" w:type="dxa"/>
          </w:tcPr>
          <w:p w14:paraId="66D63DF2" w14:textId="7CEBDF91" w:rsidR="00AF2DD5" w:rsidRDefault="00AF2DD5" w:rsidP="00461E2C">
            <w:pPr>
              <w:pStyle w:val="TableBlock"/>
              <w:numPr>
                <w:ilvl w:val="0"/>
                <w:numId w:val="8"/>
              </w:numPr>
              <w:tabs>
                <w:tab w:val="left" w:pos="624"/>
              </w:tabs>
            </w:pPr>
            <w:r>
              <w:rPr>
                <w:rFonts w:hint="cs"/>
                <w:rtl/>
              </w:rPr>
              <w:t xml:space="preserve">קיומו של אישור </w:t>
            </w:r>
            <w:proofErr w:type="spellStart"/>
            <w:r>
              <w:rPr>
                <w:rFonts w:hint="cs"/>
                <w:rtl/>
              </w:rPr>
              <w:t>אסדרתי</w:t>
            </w:r>
            <w:proofErr w:type="spellEnd"/>
            <w:r w:rsidR="003826EA">
              <w:rPr>
                <w:rFonts w:hint="cs"/>
                <w:rtl/>
              </w:rPr>
              <w:t xml:space="preserve"> רשמי</w:t>
            </w:r>
            <w:r>
              <w:rPr>
                <w:rFonts w:hint="cs"/>
                <w:rtl/>
              </w:rPr>
              <w:t xml:space="preserve"> </w:t>
            </w:r>
            <w:r w:rsidR="003826EA">
              <w:rPr>
                <w:rFonts w:hint="cs"/>
                <w:rtl/>
              </w:rPr>
              <w:t>ו</w:t>
            </w:r>
            <w:r>
              <w:rPr>
                <w:rFonts w:hint="cs"/>
                <w:rtl/>
              </w:rPr>
              <w:t xml:space="preserve">מפורש ובכתב </w:t>
            </w:r>
            <w:r w:rsidR="00A67F92">
              <w:rPr>
                <w:rFonts w:hint="cs"/>
                <w:rtl/>
              </w:rPr>
              <w:t xml:space="preserve">של גורם מוסמך </w:t>
            </w:r>
            <w:r w:rsidR="003826EA">
              <w:rPr>
                <w:rFonts w:hint="cs"/>
                <w:rtl/>
              </w:rPr>
              <w:t>ל</w:t>
            </w:r>
            <w:r>
              <w:rPr>
                <w:rFonts w:hint="cs"/>
                <w:rtl/>
              </w:rPr>
              <w:t>פעילות</w:t>
            </w:r>
            <w:r w:rsidR="003826EA">
              <w:rPr>
                <w:rFonts w:hint="cs"/>
                <w:rtl/>
              </w:rPr>
              <w:t xml:space="preserve"> או המחלוקת</w:t>
            </w:r>
            <w:r>
              <w:rPr>
                <w:rFonts w:hint="cs"/>
                <w:rtl/>
              </w:rPr>
              <w:t xml:space="preserve"> בעניין נשוא הבקשה;</w:t>
            </w:r>
          </w:p>
        </w:tc>
      </w:tr>
      <w:tr w:rsidR="00AF2DD5" w14:paraId="7F1A0958" w14:textId="77777777">
        <w:trPr>
          <w:cantSplit/>
          <w:trHeight w:val="60"/>
        </w:trPr>
        <w:tc>
          <w:tcPr>
            <w:tcW w:w="1871" w:type="dxa"/>
          </w:tcPr>
          <w:p w14:paraId="20147055" w14:textId="77777777" w:rsidR="00AF2DD5" w:rsidRDefault="00AF2DD5">
            <w:pPr>
              <w:pStyle w:val="TableSideHeading"/>
            </w:pPr>
          </w:p>
        </w:tc>
        <w:tc>
          <w:tcPr>
            <w:tcW w:w="624" w:type="dxa"/>
          </w:tcPr>
          <w:p w14:paraId="4B262B5E" w14:textId="77777777" w:rsidR="00AF2DD5" w:rsidRDefault="00AF2DD5" w:rsidP="00AF2DD5">
            <w:pPr>
              <w:pStyle w:val="TableText"/>
            </w:pPr>
          </w:p>
        </w:tc>
        <w:tc>
          <w:tcPr>
            <w:tcW w:w="624" w:type="dxa"/>
          </w:tcPr>
          <w:p w14:paraId="125AA1B9" w14:textId="77777777" w:rsidR="00AF2DD5" w:rsidRDefault="00AF2DD5">
            <w:pPr>
              <w:pStyle w:val="TableText"/>
            </w:pPr>
          </w:p>
        </w:tc>
        <w:tc>
          <w:tcPr>
            <w:tcW w:w="624" w:type="dxa"/>
          </w:tcPr>
          <w:p w14:paraId="39FAF140" w14:textId="77777777" w:rsidR="00AF2DD5" w:rsidRDefault="00AF2DD5">
            <w:pPr>
              <w:pStyle w:val="TableText"/>
            </w:pPr>
          </w:p>
        </w:tc>
        <w:tc>
          <w:tcPr>
            <w:tcW w:w="624" w:type="dxa"/>
          </w:tcPr>
          <w:p w14:paraId="6B06032F" w14:textId="77777777" w:rsidR="00AF2DD5" w:rsidRDefault="00AF2DD5">
            <w:pPr>
              <w:pStyle w:val="TableText"/>
            </w:pPr>
          </w:p>
        </w:tc>
        <w:tc>
          <w:tcPr>
            <w:tcW w:w="624" w:type="dxa"/>
          </w:tcPr>
          <w:p w14:paraId="60B5013B" w14:textId="77777777" w:rsidR="00AF2DD5" w:rsidRDefault="00AF2DD5">
            <w:pPr>
              <w:pStyle w:val="TableText"/>
            </w:pPr>
          </w:p>
        </w:tc>
        <w:tc>
          <w:tcPr>
            <w:tcW w:w="624" w:type="dxa"/>
          </w:tcPr>
          <w:p w14:paraId="1AFD28A6" w14:textId="77777777" w:rsidR="00AF2DD5" w:rsidRDefault="00AF2DD5">
            <w:pPr>
              <w:pStyle w:val="TableText"/>
            </w:pPr>
          </w:p>
        </w:tc>
        <w:tc>
          <w:tcPr>
            <w:tcW w:w="4026" w:type="dxa"/>
          </w:tcPr>
          <w:p w14:paraId="7D0D3793" w14:textId="7FECC631" w:rsidR="00AF2DD5" w:rsidRDefault="00AF2DD5" w:rsidP="00461E2C">
            <w:pPr>
              <w:pStyle w:val="TableBlock"/>
              <w:numPr>
                <w:ilvl w:val="0"/>
                <w:numId w:val="8"/>
              </w:numPr>
              <w:tabs>
                <w:tab w:val="left" w:pos="624"/>
              </w:tabs>
              <w:rPr>
                <w:rtl/>
              </w:rPr>
            </w:pPr>
            <w:r>
              <w:rPr>
                <w:rFonts w:hint="cs"/>
                <w:rtl/>
              </w:rPr>
              <w:t>ע</w:t>
            </w:r>
            <w:r w:rsidR="00A67F92">
              <w:rPr>
                <w:rFonts w:hint="cs"/>
                <w:rtl/>
              </w:rPr>
              <w:t>ו</w:t>
            </w:r>
            <w:r>
              <w:rPr>
                <w:rFonts w:hint="cs"/>
                <w:rtl/>
              </w:rPr>
              <w:t>צמת הפגיעה בנתבע אם תאושר הבקשה</w:t>
            </w:r>
            <w:r w:rsidR="00AC586F">
              <w:rPr>
                <w:rFonts w:hint="cs"/>
                <w:rtl/>
              </w:rPr>
              <w:t xml:space="preserve"> ואינטרס חברי הקבוצה באישור הבקשה</w:t>
            </w:r>
            <w:r>
              <w:rPr>
                <w:rFonts w:hint="cs"/>
                <w:rtl/>
              </w:rPr>
              <w:t>;</w:t>
            </w:r>
          </w:p>
        </w:tc>
      </w:tr>
      <w:tr w:rsidR="00AF2DD5" w14:paraId="1893E2C9" w14:textId="77777777">
        <w:trPr>
          <w:cantSplit/>
          <w:trHeight w:val="60"/>
        </w:trPr>
        <w:tc>
          <w:tcPr>
            <w:tcW w:w="1871" w:type="dxa"/>
          </w:tcPr>
          <w:p w14:paraId="41F917DE" w14:textId="77777777" w:rsidR="00AF2DD5" w:rsidRDefault="00AF2DD5">
            <w:pPr>
              <w:pStyle w:val="TableSideHeading"/>
            </w:pPr>
          </w:p>
        </w:tc>
        <w:tc>
          <w:tcPr>
            <w:tcW w:w="624" w:type="dxa"/>
          </w:tcPr>
          <w:p w14:paraId="0C157A3E" w14:textId="77777777" w:rsidR="00AF2DD5" w:rsidRDefault="00AF2DD5" w:rsidP="00AF2DD5">
            <w:pPr>
              <w:pStyle w:val="TableText"/>
            </w:pPr>
          </w:p>
        </w:tc>
        <w:tc>
          <w:tcPr>
            <w:tcW w:w="624" w:type="dxa"/>
          </w:tcPr>
          <w:p w14:paraId="2EFF40CA" w14:textId="77777777" w:rsidR="00AF2DD5" w:rsidRDefault="00AF2DD5">
            <w:pPr>
              <w:pStyle w:val="TableText"/>
            </w:pPr>
          </w:p>
        </w:tc>
        <w:tc>
          <w:tcPr>
            <w:tcW w:w="624" w:type="dxa"/>
          </w:tcPr>
          <w:p w14:paraId="11655BEE" w14:textId="77777777" w:rsidR="00AF2DD5" w:rsidRDefault="00AF2DD5">
            <w:pPr>
              <w:pStyle w:val="TableText"/>
            </w:pPr>
          </w:p>
        </w:tc>
        <w:tc>
          <w:tcPr>
            <w:tcW w:w="624" w:type="dxa"/>
          </w:tcPr>
          <w:p w14:paraId="78846511" w14:textId="77777777" w:rsidR="00AF2DD5" w:rsidRDefault="00AF2DD5">
            <w:pPr>
              <w:pStyle w:val="TableText"/>
            </w:pPr>
          </w:p>
        </w:tc>
        <w:tc>
          <w:tcPr>
            <w:tcW w:w="624" w:type="dxa"/>
          </w:tcPr>
          <w:p w14:paraId="0A263271" w14:textId="77777777" w:rsidR="00AF2DD5" w:rsidRDefault="00AF2DD5">
            <w:pPr>
              <w:pStyle w:val="TableText"/>
            </w:pPr>
          </w:p>
        </w:tc>
        <w:tc>
          <w:tcPr>
            <w:tcW w:w="624" w:type="dxa"/>
          </w:tcPr>
          <w:p w14:paraId="7669D6DD" w14:textId="77777777" w:rsidR="00AF2DD5" w:rsidRDefault="00AF2DD5">
            <w:pPr>
              <w:pStyle w:val="TableText"/>
            </w:pPr>
          </w:p>
        </w:tc>
        <w:tc>
          <w:tcPr>
            <w:tcW w:w="4026" w:type="dxa"/>
          </w:tcPr>
          <w:p w14:paraId="5564D6DE" w14:textId="10D23D4D" w:rsidR="00AF2DD5" w:rsidRDefault="00AF2DD5" w:rsidP="00461E2C">
            <w:pPr>
              <w:pStyle w:val="TableBlock"/>
              <w:numPr>
                <w:ilvl w:val="0"/>
                <w:numId w:val="8"/>
              </w:numPr>
              <w:tabs>
                <w:tab w:val="left" w:pos="624"/>
              </w:tabs>
              <w:rPr>
                <w:rtl/>
              </w:rPr>
            </w:pPr>
            <w:r>
              <w:rPr>
                <w:rFonts w:hint="cs"/>
                <w:rtl/>
              </w:rPr>
              <w:t>משך הזמן שחלף מעת שנחתם החוזה;</w:t>
            </w:r>
          </w:p>
        </w:tc>
      </w:tr>
      <w:tr w:rsidR="00AF2DD5" w14:paraId="0233AF5E" w14:textId="77777777">
        <w:trPr>
          <w:cantSplit/>
          <w:trHeight w:val="60"/>
        </w:trPr>
        <w:tc>
          <w:tcPr>
            <w:tcW w:w="1871" w:type="dxa"/>
          </w:tcPr>
          <w:p w14:paraId="25903FE2" w14:textId="77777777" w:rsidR="00AF2DD5" w:rsidRDefault="00AF2DD5">
            <w:pPr>
              <w:pStyle w:val="TableSideHeading"/>
            </w:pPr>
          </w:p>
        </w:tc>
        <w:tc>
          <w:tcPr>
            <w:tcW w:w="624" w:type="dxa"/>
          </w:tcPr>
          <w:p w14:paraId="29EF79E6" w14:textId="77777777" w:rsidR="00AF2DD5" w:rsidRDefault="00AF2DD5" w:rsidP="00AF2DD5">
            <w:pPr>
              <w:pStyle w:val="TableText"/>
            </w:pPr>
          </w:p>
        </w:tc>
        <w:tc>
          <w:tcPr>
            <w:tcW w:w="624" w:type="dxa"/>
          </w:tcPr>
          <w:p w14:paraId="63243A41" w14:textId="77777777" w:rsidR="00AF2DD5" w:rsidRDefault="00AF2DD5">
            <w:pPr>
              <w:pStyle w:val="TableText"/>
            </w:pPr>
          </w:p>
        </w:tc>
        <w:tc>
          <w:tcPr>
            <w:tcW w:w="624" w:type="dxa"/>
          </w:tcPr>
          <w:p w14:paraId="7FDBB74F" w14:textId="77777777" w:rsidR="00AF2DD5" w:rsidRDefault="00AF2DD5">
            <w:pPr>
              <w:pStyle w:val="TableText"/>
            </w:pPr>
          </w:p>
        </w:tc>
        <w:tc>
          <w:tcPr>
            <w:tcW w:w="624" w:type="dxa"/>
          </w:tcPr>
          <w:p w14:paraId="2B1460E4" w14:textId="77777777" w:rsidR="00AF2DD5" w:rsidRDefault="00AF2DD5">
            <w:pPr>
              <w:pStyle w:val="TableText"/>
            </w:pPr>
          </w:p>
        </w:tc>
        <w:tc>
          <w:tcPr>
            <w:tcW w:w="624" w:type="dxa"/>
          </w:tcPr>
          <w:p w14:paraId="47D5C2CD" w14:textId="77777777" w:rsidR="00AF2DD5" w:rsidRDefault="00AF2DD5">
            <w:pPr>
              <w:pStyle w:val="TableText"/>
            </w:pPr>
          </w:p>
        </w:tc>
        <w:tc>
          <w:tcPr>
            <w:tcW w:w="624" w:type="dxa"/>
          </w:tcPr>
          <w:p w14:paraId="6E9F003F" w14:textId="77777777" w:rsidR="00AF2DD5" w:rsidRDefault="00AF2DD5">
            <w:pPr>
              <w:pStyle w:val="TableText"/>
            </w:pPr>
          </w:p>
        </w:tc>
        <w:tc>
          <w:tcPr>
            <w:tcW w:w="4026" w:type="dxa"/>
          </w:tcPr>
          <w:p w14:paraId="64D95F8E" w14:textId="2CDB088E" w:rsidR="00AF2DD5" w:rsidRDefault="00AF2DD5" w:rsidP="00461E2C">
            <w:pPr>
              <w:pStyle w:val="TableBlock"/>
              <w:numPr>
                <w:ilvl w:val="0"/>
                <w:numId w:val="8"/>
              </w:numPr>
              <w:tabs>
                <w:tab w:val="left" w:pos="624"/>
              </w:tabs>
              <w:rPr>
                <w:rtl/>
              </w:rPr>
            </w:pPr>
            <w:r>
              <w:rPr>
                <w:rFonts w:hint="cs"/>
                <w:rtl/>
              </w:rPr>
              <w:t>קושי בהבאת ראיות הנוגעות לעניין, ככל שקיים;</w:t>
            </w:r>
          </w:p>
        </w:tc>
      </w:tr>
      <w:tr w:rsidR="00AF2DD5" w14:paraId="1EA4323E" w14:textId="77777777">
        <w:trPr>
          <w:cantSplit/>
          <w:trHeight w:val="60"/>
        </w:trPr>
        <w:tc>
          <w:tcPr>
            <w:tcW w:w="1871" w:type="dxa"/>
          </w:tcPr>
          <w:p w14:paraId="6377C6F8" w14:textId="77777777" w:rsidR="00AF2DD5" w:rsidRDefault="00AF2DD5">
            <w:pPr>
              <w:pStyle w:val="TableSideHeading"/>
            </w:pPr>
          </w:p>
        </w:tc>
        <w:tc>
          <w:tcPr>
            <w:tcW w:w="624" w:type="dxa"/>
          </w:tcPr>
          <w:p w14:paraId="05190079" w14:textId="77777777" w:rsidR="00AF2DD5" w:rsidRDefault="00AF2DD5" w:rsidP="00AF2DD5">
            <w:pPr>
              <w:pStyle w:val="TableText"/>
            </w:pPr>
          </w:p>
        </w:tc>
        <w:tc>
          <w:tcPr>
            <w:tcW w:w="624" w:type="dxa"/>
          </w:tcPr>
          <w:p w14:paraId="2B33D669" w14:textId="77777777" w:rsidR="00AF2DD5" w:rsidRDefault="00AF2DD5">
            <w:pPr>
              <w:pStyle w:val="TableText"/>
            </w:pPr>
          </w:p>
        </w:tc>
        <w:tc>
          <w:tcPr>
            <w:tcW w:w="624" w:type="dxa"/>
          </w:tcPr>
          <w:p w14:paraId="7EB53350" w14:textId="77777777" w:rsidR="00AF2DD5" w:rsidRDefault="00AF2DD5">
            <w:pPr>
              <w:pStyle w:val="TableText"/>
            </w:pPr>
          </w:p>
        </w:tc>
        <w:tc>
          <w:tcPr>
            <w:tcW w:w="624" w:type="dxa"/>
          </w:tcPr>
          <w:p w14:paraId="087E749C" w14:textId="77777777" w:rsidR="00AF2DD5" w:rsidRDefault="00AF2DD5">
            <w:pPr>
              <w:pStyle w:val="TableText"/>
            </w:pPr>
          </w:p>
        </w:tc>
        <w:tc>
          <w:tcPr>
            <w:tcW w:w="624" w:type="dxa"/>
          </w:tcPr>
          <w:p w14:paraId="764C318D" w14:textId="77777777" w:rsidR="00AF2DD5" w:rsidRDefault="00AF2DD5">
            <w:pPr>
              <w:pStyle w:val="TableText"/>
            </w:pPr>
          </w:p>
        </w:tc>
        <w:tc>
          <w:tcPr>
            <w:tcW w:w="624" w:type="dxa"/>
          </w:tcPr>
          <w:p w14:paraId="6415E6DB" w14:textId="77777777" w:rsidR="00AF2DD5" w:rsidRDefault="00AF2DD5">
            <w:pPr>
              <w:pStyle w:val="TableText"/>
            </w:pPr>
          </w:p>
        </w:tc>
        <w:tc>
          <w:tcPr>
            <w:tcW w:w="4026" w:type="dxa"/>
          </w:tcPr>
          <w:p w14:paraId="37464A7B" w14:textId="387A0B51" w:rsidR="00AF2DD5" w:rsidRDefault="00AF2DD5" w:rsidP="00461E2C">
            <w:pPr>
              <w:pStyle w:val="TableBlock"/>
              <w:numPr>
                <w:ilvl w:val="0"/>
                <w:numId w:val="8"/>
              </w:numPr>
              <w:tabs>
                <w:tab w:val="left" w:pos="624"/>
              </w:tabs>
              <w:rPr>
                <w:rtl/>
              </w:rPr>
            </w:pPr>
            <w:r>
              <w:rPr>
                <w:rFonts w:hint="cs"/>
                <w:rtl/>
              </w:rPr>
              <w:t xml:space="preserve">שינויי החקיקה וכללי האסדרה </w:t>
            </w:r>
            <w:r w:rsidR="009C3E29" w:rsidRPr="009C3E29">
              <w:rPr>
                <w:rFonts w:hint="cs"/>
                <w:rtl/>
              </w:rPr>
              <w:t>הרלוונטיים לעילת תביעה ולנשוא הבקשה</w:t>
            </w:r>
            <w:r w:rsidR="009C3E29">
              <w:rPr>
                <w:rFonts w:ascii="FrankRuehl" w:hAnsi="FrankRuehl" w:cs="FrankRuehl" w:hint="cs"/>
                <w:sz w:val="26"/>
                <w:rtl/>
              </w:rPr>
              <w:t xml:space="preserve"> </w:t>
            </w:r>
            <w:r>
              <w:rPr>
                <w:rFonts w:hint="cs"/>
                <w:rtl/>
              </w:rPr>
              <w:t>מעת שנחתם החוזה;</w:t>
            </w:r>
          </w:p>
        </w:tc>
      </w:tr>
      <w:tr w:rsidR="00AF2DD5" w14:paraId="1666689E" w14:textId="77777777">
        <w:trPr>
          <w:cantSplit/>
          <w:trHeight w:val="60"/>
        </w:trPr>
        <w:tc>
          <w:tcPr>
            <w:tcW w:w="1871" w:type="dxa"/>
          </w:tcPr>
          <w:p w14:paraId="7E9F66C7" w14:textId="0DF227F7" w:rsidR="00AF2DD5" w:rsidRDefault="00AF2DD5" w:rsidP="004E6EF5">
            <w:pPr>
              <w:pStyle w:val="TableSideHeading"/>
              <w:ind w:left="408"/>
            </w:pPr>
          </w:p>
        </w:tc>
        <w:tc>
          <w:tcPr>
            <w:tcW w:w="624" w:type="dxa"/>
          </w:tcPr>
          <w:p w14:paraId="4436EBBC" w14:textId="77777777" w:rsidR="00AF2DD5" w:rsidRDefault="00AF2DD5">
            <w:pPr>
              <w:pStyle w:val="TableText"/>
            </w:pPr>
          </w:p>
        </w:tc>
        <w:tc>
          <w:tcPr>
            <w:tcW w:w="624" w:type="dxa"/>
          </w:tcPr>
          <w:p w14:paraId="09FE667D" w14:textId="77777777" w:rsidR="00AF2DD5" w:rsidRDefault="00AF2DD5">
            <w:pPr>
              <w:pStyle w:val="TableText"/>
            </w:pPr>
          </w:p>
        </w:tc>
        <w:tc>
          <w:tcPr>
            <w:tcW w:w="624" w:type="dxa"/>
          </w:tcPr>
          <w:p w14:paraId="7FAE7F0E" w14:textId="77777777" w:rsidR="00AF2DD5" w:rsidRDefault="00AF2DD5">
            <w:pPr>
              <w:pStyle w:val="TableText"/>
            </w:pPr>
          </w:p>
        </w:tc>
        <w:tc>
          <w:tcPr>
            <w:tcW w:w="624" w:type="dxa"/>
          </w:tcPr>
          <w:p w14:paraId="644D3E62" w14:textId="77777777" w:rsidR="00AF2DD5" w:rsidRDefault="00AF2DD5">
            <w:pPr>
              <w:pStyle w:val="TableText"/>
            </w:pPr>
          </w:p>
        </w:tc>
        <w:tc>
          <w:tcPr>
            <w:tcW w:w="624" w:type="dxa"/>
          </w:tcPr>
          <w:p w14:paraId="025F3103" w14:textId="77777777" w:rsidR="00AF2DD5" w:rsidRDefault="00AF2DD5">
            <w:pPr>
              <w:pStyle w:val="TableText"/>
            </w:pPr>
          </w:p>
        </w:tc>
        <w:tc>
          <w:tcPr>
            <w:tcW w:w="4650" w:type="dxa"/>
            <w:gridSpan w:val="2"/>
          </w:tcPr>
          <w:p w14:paraId="18E7F9CA" w14:textId="036E4103" w:rsidR="00AF2DD5" w:rsidRDefault="00B97B44" w:rsidP="00B97B44">
            <w:pPr>
              <w:pStyle w:val="TableBlock"/>
              <w:numPr>
                <w:ilvl w:val="0"/>
                <w:numId w:val="9"/>
              </w:numPr>
              <w:tabs>
                <w:tab w:val="left" w:pos="624"/>
              </w:tabs>
            </w:pPr>
            <w:r>
              <w:rPr>
                <w:rFonts w:hint="cs"/>
                <w:rtl/>
              </w:rPr>
              <w:t xml:space="preserve">הוגשה בקשה לדחיית הבקשה לאישור מטעם זה, ולא מצא בית המשפט טעם לדחות טענה זו על הסף, יורה על משלוח </w:t>
            </w:r>
            <w:r w:rsidR="00FA053F">
              <w:rPr>
                <w:rFonts w:hint="cs"/>
                <w:rtl/>
              </w:rPr>
              <w:t xml:space="preserve">הבקשה כאמור </w:t>
            </w:r>
            <w:r>
              <w:rPr>
                <w:rFonts w:hint="cs"/>
                <w:rtl/>
              </w:rPr>
              <w:t xml:space="preserve">ליועץ המשפטי לממשלה; היועץ המשפטי לממשלה רשאי להגיש לבית המשפט בכתב בתוך 60 ימים מיום המצאת התשובה כאמור או בתוך מועד </w:t>
            </w:r>
            <w:r w:rsidR="00301D60">
              <w:rPr>
                <w:rFonts w:hint="cs"/>
                <w:rtl/>
              </w:rPr>
              <w:t>מאוחר יותר</w:t>
            </w:r>
            <w:r>
              <w:rPr>
                <w:rFonts w:hint="cs"/>
                <w:rtl/>
              </w:rPr>
              <w:t xml:space="preserve"> שייקבע בית המשפט, עמדה בעניין.</w:t>
            </w:r>
          </w:p>
        </w:tc>
      </w:tr>
      <w:tr w:rsidR="00AC2B05" w14:paraId="1CD509A6" w14:textId="77777777">
        <w:trPr>
          <w:cantSplit/>
          <w:trHeight w:val="60"/>
        </w:trPr>
        <w:tc>
          <w:tcPr>
            <w:tcW w:w="1871" w:type="dxa"/>
          </w:tcPr>
          <w:p w14:paraId="721CE5B5" w14:textId="71DFE6E9" w:rsidR="00AC2B05" w:rsidRDefault="00AC2B05" w:rsidP="007E751D">
            <w:pPr>
              <w:pStyle w:val="TableSideHeading"/>
              <w:keepLines w:val="0"/>
            </w:pPr>
            <w:r>
              <w:rPr>
                <w:rFonts w:hint="cs"/>
                <w:rtl/>
              </w:rPr>
              <w:t>תיקון סעיף 9</w:t>
            </w:r>
          </w:p>
        </w:tc>
        <w:tc>
          <w:tcPr>
            <w:tcW w:w="624" w:type="dxa"/>
          </w:tcPr>
          <w:p w14:paraId="59A54797" w14:textId="77777777" w:rsidR="00AC2B05" w:rsidRDefault="00AC2B05" w:rsidP="00461E2C">
            <w:pPr>
              <w:pStyle w:val="TableText"/>
              <w:keepLines w:val="0"/>
              <w:numPr>
                <w:ilvl w:val="0"/>
                <w:numId w:val="2"/>
              </w:numPr>
            </w:pPr>
          </w:p>
        </w:tc>
        <w:tc>
          <w:tcPr>
            <w:tcW w:w="7146" w:type="dxa"/>
            <w:gridSpan w:val="6"/>
          </w:tcPr>
          <w:p w14:paraId="34B848FE" w14:textId="6273C44F" w:rsidR="00AC2B05" w:rsidRPr="00C34DE2" w:rsidRDefault="00AC2B05" w:rsidP="00D16407">
            <w:pPr>
              <w:pStyle w:val="TableBlock"/>
              <w:keepLines w:val="0"/>
            </w:pPr>
            <w:r>
              <w:rPr>
                <w:rFonts w:hint="cs"/>
                <w:rtl/>
              </w:rPr>
              <w:t xml:space="preserve">בסעיף </w:t>
            </w:r>
            <w:r w:rsidR="00D16407">
              <w:rPr>
                <w:rFonts w:hint="cs"/>
                <w:rtl/>
              </w:rPr>
              <w:t xml:space="preserve">9 לחוק העיקרי - </w:t>
            </w:r>
            <w:r>
              <w:rPr>
                <w:rFonts w:hint="cs"/>
                <w:rtl/>
              </w:rPr>
              <w:t xml:space="preserve"> </w:t>
            </w:r>
          </w:p>
        </w:tc>
      </w:tr>
      <w:tr w:rsidR="00D16407" w14:paraId="1194133C" w14:textId="77777777">
        <w:trPr>
          <w:cantSplit/>
          <w:trHeight w:val="60"/>
        </w:trPr>
        <w:tc>
          <w:tcPr>
            <w:tcW w:w="1871" w:type="dxa"/>
          </w:tcPr>
          <w:p w14:paraId="3D51BFFD" w14:textId="77777777" w:rsidR="00D16407" w:rsidRDefault="00D16407">
            <w:pPr>
              <w:pStyle w:val="TableSideHeading"/>
            </w:pPr>
          </w:p>
        </w:tc>
        <w:tc>
          <w:tcPr>
            <w:tcW w:w="624" w:type="dxa"/>
          </w:tcPr>
          <w:p w14:paraId="043F28ED" w14:textId="77777777" w:rsidR="00D16407" w:rsidRDefault="00D16407">
            <w:pPr>
              <w:pStyle w:val="TableText"/>
            </w:pPr>
          </w:p>
        </w:tc>
        <w:tc>
          <w:tcPr>
            <w:tcW w:w="624" w:type="dxa"/>
          </w:tcPr>
          <w:p w14:paraId="0611C1AD" w14:textId="77777777" w:rsidR="00D16407" w:rsidRDefault="00D16407">
            <w:pPr>
              <w:pStyle w:val="TableText"/>
            </w:pPr>
          </w:p>
        </w:tc>
        <w:tc>
          <w:tcPr>
            <w:tcW w:w="6522" w:type="dxa"/>
            <w:gridSpan w:val="5"/>
          </w:tcPr>
          <w:p w14:paraId="723FB873" w14:textId="7BD8ED51" w:rsidR="00D16407" w:rsidRDefault="00D16407" w:rsidP="00C57EB2">
            <w:pPr>
              <w:pStyle w:val="TableBlock"/>
              <w:numPr>
                <w:ilvl w:val="0"/>
                <w:numId w:val="16"/>
              </w:numPr>
              <w:tabs>
                <w:tab w:val="left" w:pos="624"/>
              </w:tabs>
            </w:pPr>
            <w:r>
              <w:rPr>
                <w:rFonts w:hint="cs"/>
                <w:rtl/>
              </w:rPr>
              <w:t>בסעיף קטן (א), במקום "מהמועד שבו הוגשה הבקשה לאישור" יבוא "מהמועד שבו הומצאה הבקשה לאישור לרשות".</w:t>
            </w:r>
          </w:p>
        </w:tc>
      </w:tr>
      <w:tr w:rsidR="00290E95" w14:paraId="1CAC82C5" w14:textId="77777777">
        <w:trPr>
          <w:cantSplit/>
          <w:trHeight w:val="60"/>
        </w:trPr>
        <w:tc>
          <w:tcPr>
            <w:tcW w:w="1871" w:type="dxa"/>
          </w:tcPr>
          <w:p w14:paraId="1004DC5D" w14:textId="007AC208" w:rsidR="00290E95" w:rsidRDefault="00290E95" w:rsidP="00672AF7">
            <w:pPr>
              <w:pStyle w:val="TableSideHeading"/>
              <w:ind w:left="408"/>
            </w:pPr>
          </w:p>
        </w:tc>
        <w:tc>
          <w:tcPr>
            <w:tcW w:w="624" w:type="dxa"/>
          </w:tcPr>
          <w:p w14:paraId="2586963B" w14:textId="77777777" w:rsidR="00290E95" w:rsidRDefault="00290E95" w:rsidP="00290E95">
            <w:pPr>
              <w:pStyle w:val="TableText"/>
            </w:pPr>
          </w:p>
        </w:tc>
        <w:tc>
          <w:tcPr>
            <w:tcW w:w="624" w:type="dxa"/>
          </w:tcPr>
          <w:p w14:paraId="373E22FC" w14:textId="77777777" w:rsidR="00290E95" w:rsidRDefault="00290E95">
            <w:pPr>
              <w:pStyle w:val="TableText"/>
            </w:pPr>
          </w:p>
        </w:tc>
        <w:tc>
          <w:tcPr>
            <w:tcW w:w="6522" w:type="dxa"/>
            <w:gridSpan w:val="5"/>
          </w:tcPr>
          <w:p w14:paraId="65D0F74F" w14:textId="36495DBF" w:rsidR="00290E95" w:rsidRDefault="00290E95" w:rsidP="00C57EB2">
            <w:pPr>
              <w:pStyle w:val="TableBlock"/>
              <w:numPr>
                <w:ilvl w:val="0"/>
                <w:numId w:val="16"/>
              </w:numPr>
              <w:tabs>
                <w:tab w:val="left" w:pos="624"/>
              </w:tabs>
              <w:rPr>
                <w:rtl/>
              </w:rPr>
            </w:pPr>
            <w:r>
              <w:rPr>
                <w:rFonts w:hint="cs"/>
                <w:rtl/>
              </w:rPr>
              <w:t>ב</w:t>
            </w:r>
            <w:r w:rsidR="00EF72F1">
              <w:rPr>
                <w:rFonts w:hint="cs"/>
                <w:rtl/>
              </w:rPr>
              <w:t>מקום סעיף קטן (ג) יבוא:</w:t>
            </w:r>
          </w:p>
        </w:tc>
      </w:tr>
      <w:tr w:rsidR="00EF72F1" w14:paraId="21D8F015" w14:textId="77777777">
        <w:trPr>
          <w:cantSplit/>
          <w:trHeight w:val="60"/>
        </w:trPr>
        <w:tc>
          <w:tcPr>
            <w:tcW w:w="1871" w:type="dxa"/>
          </w:tcPr>
          <w:p w14:paraId="1C57ABCA" w14:textId="77777777" w:rsidR="00EF72F1" w:rsidRDefault="00EF72F1">
            <w:pPr>
              <w:pStyle w:val="TableSideHeading"/>
            </w:pPr>
          </w:p>
        </w:tc>
        <w:tc>
          <w:tcPr>
            <w:tcW w:w="624" w:type="dxa"/>
          </w:tcPr>
          <w:p w14:paraId="6A661C47" w14:textId="77777777" w:rsidR="00EF72F1" w:rsidRDefault="00EF72F1">
            <w:pPr>
              <w:pStyle w:val="TableText"/>
            </w:pPr>
          </w:p>
        </w:tc>
        <w:tc>
          <w:tcPr>
            <w:tcW w:w="624" w:type="dxa"/>
          </w:tcPr>
          <w:p w14:paraId="6A57BCF6" w14:textId="77777777" w:rsidR="00EF72F1" w:rsidRDefault="00EF72F1">
            <w:pPr>
              <w:pStyle w:val="TableText"/>
            </w:pPr>
          </w:p>
        </w:tc>
        <w:tc>
          <w:tcPr>
            <w:tcW w:w="624" w:type="dxa"/>
          </w:tcPr>
          <w:p w14:paraId="42F91C28" w14:textId="77777777" w:rsidR="00EF72F1" w:rsidRDefault="00EF72F1">
            <w:pPr>
              <w:pStyle w:val="TableText"/>
            </w:pPr>
          </w:p>
        </w:tc>
        <w:tc>
          <w:tcPr>
            <w:tcW w:w="5898" w:type="dxa"/>
            <w:gridSpan w:val="4"/>
          </w:tcPr>
          <w:p w14:paraId="69BA0EDC" w14:textId="667D48B2" w:rsidR="00EF72F1" w:rsidRDefault="00EF72F1">
            <w:pPr>
              <w:pStyle w:val="TableBlock"/>
            </w:pPr>
            <w:r>
              <w:rPr>
                <w:rFonts w:hint="cs"/>
                <w:rtl/>
              </w:rPr>
              <w:t xml:space="preserve">"(ג) </w:t>
            </w:r>
            <w:r w:rsidRPr="00EF72F1">
              <w:rPr>
                <w:rFonts w:hint="cs"/>
                <w:rtl/>
              </w:rPr>
              <w:t xml:space="preserve">החליט בית המשפט כאמור בסעיף קטן (ב), רשאי הוא לפסוק גמול למבקש ושכר טרחה לבא כוח המייצג בהתחשב בשיקולים </w:t>
            </w:r>
            <w:r w:rsidR="00386A08">
              <w:rPr>
                <w:rFonts w:hint="cs"/>
                <w:rtl/>
              </w:rPr>
              <w:t>המפורטים</w:t>
            </w:r>
            <w:r w:rsidR="00386A08" w:rsidRPr="00EF72F1">
              <w:rPr>
                <w:rFonts w:hint="cs"/>
                <w:rtl/>
              </w:rPr>
              <w:t xml:space="preserve"> </w:t>
            </w:r>
            <w:r w:rsidRPr="00EF72F1">
              <w:rPr>
                <w:rFonts w:hint="cs"/>
                <w:rtl/>
              </w:rPr>
              <w:t>בסעיף</w:t>
            </w:r>
            <w:r w:rsidR="00386A08">
              <w:rPr>
                <w:rFonts w:hint="cs"/>
                <w:rtl/>
              </w:rPr>
              <w:t xml:space="preserve"> </w:t>
            </w:r>
            <w:r w:rsidRPr="00EF72F1">
              <w:rPr>
                <w:rFonts w:hint="cs"/>
                <w:rtl/>
              </w:rPr>
              <w:t>23(</w:t>
            </w:r>
            <w:r w:rsidR="000F28EC">
              <w:rPr>
                <w:rFonts w:hint="cs"/>
                <w:rtl/>
              </w:rPr>
              <w:t>ג</w:t>
            </w:r>
            <w:r w:rsidRPr="00EF72F1">
              <w:rPr>
                <w:rFonts w:hint="cs"/>
                <w:rtl/>
              </w:rPr>
              <w:t>)</w:t>
            </w:r>
            <w:r>
              <w:rPr>
                <w:rFonts w:cs="FrankRuehl" w:hint="cs"/>
                <w:rtl/>
              </w:rPr>
              <w:t>.</w:t>
            </w:r>
            <w:r>
              <w:rPr>
                <w:rFonts w:hint="cs"/>
                <w:rtl/>
              </w:rPr>
              <w:t>".</w:t>
            </w:r>
          </w:p>
        </w:tc>
      </w:tr>
      <w:tr w:rsidR="00063D3D" w14:paraId="4D55FE9B" w14:textId="77777777">
        <w:trPr>
          <w:cantSplit/>
          <w:trHeight w:val="60"/>
        </w:trPr>
        <w:tc>
          <w:tcPr>
            <w:tcW w:w="1871" w:type="dxa"/>
          </w:tcPr>
          <w:p w14:paraId="1AC13B2D" w14:textId="77777777" w:rsidR="00063D3D" w:rsidRDefault="00063D3D">
            <w:pPr>
              <w:pStyle w:val="TableSideHeading"/>
            </w:pPr>
          </w:p>
        </w:tc>
        <w:tc>
          <w:tcPr>
            <w:tcW w:w="624" w:type="dxa"/>
          </w:tcPr>
          <w:p w14:paraId="0207FE59" w14:textId="77777777" w:rsidR="00063D3D" w:rsidRDefault="00063D3D" w:rsidP="00063D3D">
            <w:pPr>
              <w:pStyle w:val="TableText"/>
            </w:pPr>
          </w:p>
        </w:tc>
        <w:tc>
          <w:tcPr>
            <w:tcW w:w="624" w:type="dxa"/>
          </w:tcPr>
          <w:p w14:paraId="07B55D60" w14:textId="77777777" w:rsidR="00063D3D" w:rsidRDefault="00063D3D">
            <w:pPr>
              <w:pStyle w:val="TableText"/>
            </w:pPr>
          </w:p>
        </w:tc>
        <w:tc>
          <w:tcPr>
            <w:tcW w:w="6522" w:type="dxa"/>
            <w:gridSpan w:val="5"/>
          </w:tcPr>
          <w:p w14:paraId="53CBD277" w14:textId="2819EF74" w:rsidR="00063D3D" w:rsidRDefault="00063D3D" w:rsidP="00C57EB2">
            <w:pPr>
              <w:pStyle w:val="TableBlock"/>
              <w:numPr>
                <w:ilvl w:val="0"/>
                <w:numId w:val="16"/>
              </w:numPr>
              <w:tabs>
                <w:tab w:val="left" w:pos="624"/>
              </w:tabs>
              <w:rPr>
                <w:rtl/>
              </w:rPr>
            </w:pPr>
            <w:r>
              <w:rPr>
                <w:rFonts w:hint="cs"/>
                <w:rtl/>
              </w:rPr>
              <w:t>אחרי סעיף קטן (ג) יבוא:</w:t>
            </w:r>
          </w:p>
        </w:tc>
      </w:tr>
      <w:tr w:rsidR="00063D3D" w14:paraId="7A3D9C54" w14:textId="77777777">
        <w:trPr>
          <w:cantSplit/>
          <w:trHeight w:val="60"/>
        </w:trPr>
        <w:tc>
          <w:tcPr>
            <w:tcW w:w="1871" w:type="dxa"/>
          </w:tcPr>
          <w:p w14:paraId="0603FE33" w14:textId="77777777" w:rsidR="00063D3D" w:rsidRDefault="00063D3D">
            <w:pPr>
              <w:pStyle w:val="TableSideHeading"/>
            </w:pPr>
          </w:p>
        </w:tc>
        <w:tc>
          <w:tcPr>
            <w:tcW w:w="624" w:type="dxa"/>
          </w:tcPr>
          <w:p w14:paraId="623BA1D3" w14:textId="77777777" w:rsidR="00063D3D" w:rsidRDefault="00063D3D">
            <w:pPr>
              <w:pStyle w:val="TableText"/>
            </w:pPr>
          </w:p>
        </w:tc>
        <w:tc>
          <w:tcPr>
            <w:tcW w:w="624" w:type="dxa"/>
          </w:tcPr>
          <w:p w14:paraId="24BBF771" w14:textId="77777777" w:rsidR="00063D3D" w:rsidRDefault="00063D3D">
            <w:pPr>
              <w:pStyle w:val="TableText"/>
            </w:pPr>
          </w:p>
        </w:tc>
        <w:tc>
          <w:tcPr>
            <w:tcW w:w="624" w:type="dxa"/>
          </w:tcPr>
          <w:p w14:paraId="5A107115" w14:textId="77777777" w:rsidR="00063D3D" w:rsidRDefault="00063D3D">
            <w:pPr>
              <w:pStyle w:val="TableText"/>
            </w:pPr>
          </w:p>
        </w:tc>
        <w:tc>
          <w:tcPr>
            <w:tcW w:w="5898" w:type="dxa"/>
            <w:gridSpan w:val="4"/>
          </w:tcPr>
          <w:p w14:paraId="43CF13F6" w14:textId="0D5069D2" w:rsidR="00063D3D" w:rsidRDefault="00063D3D" w:rsidP="00063D3D">
            <w:pPr>
              <w:pStyle w:val="TableBlock"/>
            </w:pPr>
            <w:r>
              <w:rPr>
                <w:rFonts w:hint="cs"/>
                <w:rtl/>
              </w:rPr>
              <w:t xml:space="preserve">"(ד) </w:t>
            </w:r>
            <w:r w:rsidRPr="00063D3D">
              <w:rPr>
                <w:rtl/>
              </w:rPr>
              <w:t xml:space="preserve">הוראות סעיף זה יחולו, </w:t>
            </w:r>
            <w:r w:rsidRPr="00406DAD">
              <w:rPr>
                <w:rtl/>
              </w:rPr>
              <w:t xml:space="preserve">בשינויים </w:t>
            </w:r>
            <w:proofErr w:type="spellStart"/>
            <w:r w:rsidRPr="00406DAD">
              <w:rPr>
                <w:rFonts w:hint="eastAsia"/>
                <w:rtl/>
              </w:rPr>
              <w:t>המחוייבים</w:t>
            </w:r>
            <w:proofErr w:type="spellEnd"/>
            <w:r w:rsidRPr="00406DAD">
              <w:rPr>
                <w:rtl/>
              </w:rPr>
              <w:t>, גם על בקשה לאישור בתביעת השבה כמפורט בפרטים 15</w:t>
            </w:r>
            <w:r w:rsidRPr="00406DAD">
              <w:rPr>
                <w:rFonts w:hint="cs"/>
                <w:rtl/>
              </w:rPr>
              <w:t>, 16</w:t>
            </w:r>
            <w:r w:rsidRPr="00406DAD">
              <w:rPr>
                <w:rtl/>
              </w:rPr>
              <w:t xml:space="preserve"> ו-1</w:t>
            </w:r>
            <w:r w:rsidRPr="00406DAD">
              <w:rPr>
                <w:rFonts w:hint="cs"/>
                <w:rtl/>
              </w:rPr>
              <w:t>7</w:t>
            </w:r>
            <w:r w:rsidRPr="00406DAD">
              <w:rPr>
                <w:rtl/>
              </w:rPr>
              <w:t xml:space="preserve"> לתוספת </w:t>
            </w:r>
            <w:proofErr w:type="spellStart"/>
            <w:r w:rsidRPr="00406DAD">
              <w:rPr>
                <w:rFonts w:hint="eastAsia"/>
                <w:rtl/>
              </w:rPr>
              <w:t>השניה</w:t>
            </w:r>
            <w:proofErr w:type="spellEnd"/>
            <w:r w:rsidRPr="00406DAD">
              <w:rPr>
                <w:rtl/>
              </w:rPr>
              <w:t>.";</w:t>
            </w:r>
          </w:p>
        </w:tc>
      </w:tr>
      <w:tr w:rsidR="00AF2DD5" w14:paraId="4FE0ADFD" w14:textId="77777777">
        <w:trPr>
          <w:cantSplit/>
          <w:trHeight w:val="60"/>
        </w:trPr>
        <w:tc>
          <w:tcPr>
            <w:tcW w:w="1871" w:type="dxa"/>
          </w:tcPr>
          <w:p w14:paraId="3B0F15C1" w14:textId="671E6B15" w:rsidR="00AF2DD5" w:rsidRDefault="00AF2DD5" w:rsidP="007E751D">
            <w:pPr>
              <w:pStyle w:val="TableSideHeading"/>
              <w:keepLines w:val="0"/>
            </w:pPr>
            <w:r>
              <w:rPr>
                <w:rFonts w:hint="cs"/>
                <w:rtl/>
              </w:rPr>
              <w:t>הוספת סעיף 9א</w:t>
            </w:r>
          </w:p>
        </w:tc>
        <w:tc>
          <w:tcPr>
            <w:tcW w:w="624" w:type="dxa"/>
          </w:tcPr>
          <w:p w14:paraId="4CC26F7E" w14:textId="77777777" w:rsidR="00AF2DD5" w:rsidRDefault="00AF2DD5" w:rsidP="00461E2C">
            <w:pPr>
              <w:pStyle w:val="TableText"/>
              <w:keepLines w:val="0"/>
              <w:numPr>
                <w:ilvl w:val="0"/>
                <w:numId w:val="2"/>
              </w:numPr>
            </w:pPr>
          </w:p>
        </w:tc>
        <w:tc>
          <w:tcPr>
            <w:tcW w:w="7146" w:type="dxa"/>
            <w:gridSpan w:val="6"/>
          </w:tcPr>
          <w:p w14:paraId="5A3C2191" w14:textId="6FE6B946" w:rsidR="00AF2DD5" w:rsidRPr="00C34DE2" w:rsidRDefault="00AF2DD5" w:rsidP="007E751D">
            <w:pPr>
              <w:pStyle w:val="TableBlock"/>
              <w:keepLines w:val="0"/>
            </w:pPr>
            <w:r>
              <w:rPr>
                <w:rFonts w:hint="cs"/>
                <w:rtl/>
              </w:rPr>
              <w:t>אחרי סעיף 9 לחוק העיקרי יבוא:</w:t>
            </w:r>
          </w:p>
        </w:tc>
      </w:tr>
      <w:tr w:rsidR="00063D3D" w14:paraId="25AE6716" w14:textId="77777777">
        <w:trPr>
          <w:cantSplit/>
          <w:trHeight w:val="60"/>
        </w:trPr>
        <w:tc>
          <w:tcPr>
            <w:tcW w:w="1871" w:type="dxa"/>
          </w:tcPr>
          <w:p w14:paraId="60F85DE0" w14:textId="77777777" w:rsidR="00063D3D" w:rsidRDefault="00063D3D">
            <w:pPr>
              <w:pStyle w:val="TableSideHeading"/>
              <w:keepLines w:val="0"/>
            </w:pPr>
          </w:p>
        </w:tc>
        <w:tc>
          <w:tcPr>
            <w:tcW w:w="624" w:type="dxa"/>
          </w:tcPr>
          <w:p w14:paraId="33364A3E" w14:textId="77777777" w:rsidR="00063D3D" w:rsidRDefault="00063D3D">
            <w:pPr>
              <w:pStyle w:val="TableText"/>
              <w:keepLines w:val="0"/>
            </w:pPr>
          </w:p>
        </w:tc>
        <w:tc>
          <w:tcPr>
            <w:tcW w:w="1872" w:type="dxa"/>
            <w:gridSpan w:val="3"/>
          </w:tcPr>
          <w:p w14:paraId="44CB0DA1" w14:textId="7307D92D" w:rsidR="00063D3D" w:rsidRDefault="00063D3D">
            <w:pPr>
              <w:pStyle w:val="TableInnerSideHeading"/>
            </w:pPr>
            <w:r>
              <w:rPr>
                <w:rFonts w:hint="cs"/>
                <w:rtl/>
              </w:rPr>
              <w:t xml:space="preserve">"בקשה לאישור בתביעת השבה נגד רשות </w:t>
            </w:r>
            <w:proofErr w:type="spellStart"/>
            <w:r>
              <w:rPr>
                <w:rFonts w:hint="cs"/>
                <w:rtl/>
              </w:rPr>
              <w:t>המסים</w:t>
            </w:r>
            <w:proofErr w:type="spellEnd"/>
            <w:r>
              <w:rPr>
                <w:rFonts w:hint="cs"/>
                <w:rtl/>
              </w:rPr>
              <w:t xml:space="preserve"> </w:t>
            </w:r>
            <w:r>
              <w:rPr>
                <w:rtl/>
              </w:rPr>
              <w:t>–</w:t>
            </w:r>
            <w:r>
              <w:rPr>
                <w:rFonts w:hint="cs"/>
                <w:rtl/>
              </w:rPr>
              <w:t xml:space="preserve"> הוראות מיוחדות</w:t>
            </w:r>
          </w:p>
        </w:tc>
        <w:tc>
          <w:tcPr>
            <w:tcW w:w="624" w:type="dxa"/>
          </w:tcPr>
          <w:p w14:paraId="3CD6C2EA" w14:textId="4022F9CA" w:rsidR="00063D3D" w:rsidRDefault="00063D3D">
            <w:pPr>
              <w:pStyle w:val="TableText"/>
            </w:pPr>
            <w:r>
              <w:rPr>
                <w:rFonts w:hint="cs"/>
                <w:rtl/>
              </w:rPr>
              <w:t xml:space="preserve">9א. </w:t>
            </w:r>
          </w:p>
        </w:tc>
        <w:tc>
          <w:tcPr>
            <w:tcW w:w="4650" w:type="dxa"/>
            <w:gridSpan w:val="2"/>
          </w:tcPr>
          <w:p w14:paraId="1600544A" w14:textId="59CA9522" w:rsidR="002661E1" w:rsidRDefault="002661E1" w:rsidP="00C57EB2">
            <w:pPr>
              <w:pStyle w:val="TableBlock"/>
              <w:numPr>
                <w:ilvl w:val="0"/>
                <w:numId w:val="17"/>
              </w:numPr>
              <w:tabs>
                <w:tab w:val="left" w:pos="624"/>
              </w:tabs>
            </w:pPr>
            <w:r w:rsidRPr="002661E1">
              <w:rPr>
                <w:rtl/>
              </w:rPr>
              <w:t xml:space="preserve">הוגשה בקשה לאישור </w:t>
            </w:r>
            <w:r w:rsidRPr="002661E1">
              <w:rPr>
                <w:rFonts w:hint="eastAsia"/>
                <w:rtl/>
              </w:rPr>
              <w:t>נגד</w:t>
            </w:r>
            <w:r w:rsidRPr="002661E1">
              <w:rPr>
                <w:rtl/>
              </w:rPr>
              <w:t xml:space="preserve"> </w:t>
            </w:r>
            <w:r w:rsidRPr="002661E1">
              <w:rPr>
                <w:rFonts w:hint="eastAsia"/>
                <w:rtl/>
              </w:rPr>
              <w:t>גוף</w:t>
            </w:r>
            <w:r w:rsidRPr="002661E1">
              <w:rPr>
                <w:rtl/>
              </w:rPr>
              <w:t xml:space="preserve"> </w:t>
            </w:r>
            <w:r w:rsidRPr="002661E1">
              <w:rPr>
                <w:rFonts w:hint="eastAsia"/>
                <w:rtl/>
              </w:rPr>
              <w:t>שאינו</w:t>
            </w:r>
            <w:r w:rsidRPr="002661E1">
              <w:rPr>
                <w:rtl/>
              </w:rPr>
              <w:t xml:space="preserve"> </w:t>
            </w:r>
            <w:r w:rsidR="00837837">
              <w:rPr>
                <w:rFonts w:hint="cs"/>
                <w:rtl/>
              </w:rPr>
              <w:t>מדינת ישראל</w:t>
            </w:r>
            <w:r w:rsidRPr="002661E1">
              <w:rPr>
                <w:rtl/>
              </w:rPr>
              <w:t xml:space="preserve">, </w:t>
            </w:r>
            <w:r w:rsidRPr="002661E1">
              <w:rPr>
                <w:rFonts w:hint="eastAsia"/>
                <w:rtl/>
              </w:rPr>
              <w:t>בתביעה</w:t>
            </w:r>
            <w:r w:rsidRPr="002661E1">
              <w:rPr>
                <w:rtl/>
              </w:rPr>
              <w:t xml:space="preserve"> ל</w:t>
            </w:r>
            <w:r w:rsidRPr="002661E1">
              <w:rPr>
                <w:rFonts w:hint="eastAsia"/>
                <w:rtl/>
              </w:rPr>
              <w:t>השבת</w:t>
            </w:r>
            <w:r w:rsidRPr="002661E1">
              <w:rPr>
                <w:rtl/>
              </w:rPr>
              <w:t xml:space="preserve"> </w:t>
            </w:r>
            <w:r w:rsidRPr="002661E1">
              <w:rPr>
                <w:rFonts w:hint="eastAsia"/>
                <w:rtl/>
              </w:rPr>
              <w:t>מס</w:t>
            </w:r>
            <w:r w:rsidRPr="002661E1">
              <w:rPr>
                <w:rtl/>
              </w:rPr>
              <w:t xml:space="preserve">, </w:t>
            </w:r>
            <w:r w:rsidRPr="002661E1">
              <w:rPr>
                <w:rFonts w:hint="eastAsia"/>
                <w:rtl/>
              </w:rPr>
              <w:t>אגרה</w:t>
            </w:r>
            <w:r w:rsidRPr="002661E1">
              <w:rPr>
                <w:rtl/>
              </w:rPr>
              <w:t xml:space="preserve"> </w:t>
            </w:r>
            <w:r w:rsidRPr="002661E1">
              <w:rPr>
                <w:rFonts w:hint="eastAsia"/>
                <w:rtl/>
              </w:rPr>
              <w:t>או</w:t>
            </w:r>
            <w:r w:rsidRPr="002661E1">
              <w:rPr>
                <w:rtl/>
              </w:rPr>
              <w:t xml:space="preserve"> </w:t>
            </w:r>
            <w:r w:rsidRPr="002661E1">
              <w:rPr>
                <w:rFonts w:hint="eastAsia"/>
                <w:rtl/>
              </w:rPr>
              <w:t>תשלום</w:t>
            </w:r>
            <w:r w:rsidRPr="002661E1">
              <w:rPr>
                <w:rtl/>
              </w:rPr>
              <w:t xml:space="preserve"> </w:t>
            </w:r>
            <w:r w:rsidRPr="002661E1">
              <w:rPr>
                <w:rFonts w:hint="eastAsia"/>
                <w:rtl/>
              </w:rPr>
              <w:t>חובה</w:t>
            </w:r>
            <w:r w:rsidRPr="002661E1">
              <w:rPr>
                <w:rtl/>
              </w:rPr>
              <w:t xml:space="preserve"> </w:t>
            </w:r>
            <w:r w:rsidRPr="002661E1">
              <w:rPr>
                <w:rFonts w:hint="eastAsia"/>
                <w:rtl/>
              </w:rPr>
              <w:t>אחר</w:t>
            </w:r>
            <w:r w:rsidR="004F4BCD">
              <w:rPr>
                <w:rFonts w:hint="cs"/>
                <w:rtl/>
              </w:rPr>
              <w:t xml:space="preserve"> של כל אחד מאלה,</w:t>
            </w:r>
            <w:r w:rsidRPr="002661E1">
              <w:rPr>
                <w:rtl/>
              </w:rPr>
              <w:t xml:space="preserve"> </w:t>
            </w:r>
            <w:r w:rsidRPr="002661E1">
              <w:rPr>
                <w:rFonts w:hint="eastAsia"/>
                <w:rtl/>
              </w:rPr>
              <w:t>שהמנהל</w:t>
            </w:r>
            <w:r w:rsidRPr="002661E1">
              <w:rPr>
                <w:rtl/>
              </w:rPr>
              <w:t xml:space="preserve">, </w:t>
            </w:r>
            <w:r w:rsidRPr="002661E1">
              <w:rPr>
                <w:rFonts w:hint="eastAsia"/>
                <w:rtl/>
              </w:rPr>
              <w:t>כמשמעותו</w:t>
            </w:r>
            <w:r w:rsidRPr="002661E1">
              <w:rPr>
                <w:rtl/>
              </w:rPr>
              <w:t xml:space="preserve"> </w:t>
            </w:r>
            <w:r w:rsidRPr="002661E1">
              <w:rPr>
                <w:rFonts w:hint="eastAsia"/>
                <w:rtl/>
              </w:rPr>
              <w:t>בפקודת</w:t>
            </w:r>
            <w:r w:rsidRPr="002661E1">
              <w:rPr>
                <w:rtl/>
              </w:rPr>
              <w:t xml:space="preserve"> </w:t>
            </w:r>
            <w:r w:rsidRPr="002661E1">
              <w:rPr>
                <w:rFonts w:hint="eastAsia"/>
                <w:rtl/>
              </w:rPr>
              <w:t>מס</w:t>
            </w:r>
            <w:r w:rsidRPr="002661E1">
              <w:rPr>
                <w:rtl/>
              </w:rPr>
              <w:t xml:space="preserve"> </w:t>
            </w:r>
            <w:r w:rsidRPr="002661E1">
              <w:rPr>
                <w:rFonts w:hint="eastAsia"/>
                <w:rtl/>
              </w:rPr>
              <w:t>הכנסה</w:t>
            </w:r>
            <w:r w:rsidR="001359A4">
              <w:rPr>
                <w:rStyle w:val="a7"/>
                <w:rtl/>
              </w:rPr>
              <w:footnoteReference w:id="10"/>
            </w:r>
            <w:r w:rsidRPr="002661E1">
              <w:rPr>
                <w:rFonts w:hint="cs"/>
                <w:rtl/>
              </w:rPr>
              <w:t>, ממונה על גבייתו,</w:t>
            </w:r>
            <w:r w:rsidR="00D353C1">
              <w:rPr>
                <w:rFonts w:hint="cs"/>
                <w:rtl/>
              </w:rPr>
              <w:t xml:space="preserve"> </w:t>
            </w:r>
            <w:r w:rsidRPr="002661E1">
              <w:rPr>
                <w:rtl/>
              </w:rPr>
              <w:t xml:space="preserve">יורה בית המשפט על המצאת הבקשה לרשות </w:t>
            </w:r>
            <w:proofErr w:type="spellStart"/>
            <w:r w:rsidRPr="002661E1">
              <w:rPr>
                <w:rtl/>
              </w:rPr>
              <w:t>המסים</w:t>
            </w:r>
            <w:proofErr w:type="spellEnd"/>
            <w:r>
              <w:rPr>
                <w:rFonts w:hint="cs"/>
                <w:rtl/>
              </w:rPr>
              <w:t>:</w:t>
            </w:r>
          </w:p>
        </w:tc>
      </w:tr>
      <w:tr w:rsidR="002661E1" w14:paraId="49FD8BC0" w14:textId="645F3F82">
        <w:trPr>
          <w:cantSplit/>
          <w:trHeight w:val="60"/>
        </w:trPr>
        <w:tc>
          <w:tcPr>
            <w:tcW w:w="1871" w:type="dxa"/>
          </w:tcPr>
          <w:p w14:paraId="3B7B76BD" w14:textId="302DEBF4" w:rsidR="002661E1" w:rsidRDefault="002661E1">
            <w:pPr>
              <w:pStyle w:val="TableSideHeading"/>
            </w:pPr>
          </w:p>
        </w:tc>
        <w:tc>
          <w:tcPr>
            <w:tcW w:w="624" w:type="dxa"/>
          </w:tcPr>
          <w:p w14:paraId="0A8707BB" w14:textId="6CC1BBB1" w:rsidR="002661E1" w:rsidRDefault="002661E1">
            <w:pPr>
              <w:pStyle w:val="TableText"/>
            </w:pPr>
          </w:p>
        </w:tc>
        <w:tc>
          <w:tcPr>
            <w:tcW w:w="624" w:type="dxa"/>
          </w:tcPr>
          <w:p w14:paraId="794046F4" w14:textId="5F4A5D26" w:rsidR="002661E1" w:rsidRDefault="002661E1">
            <w:pPr>
              <w:pStyle w:val="TableText"/>
            </w:pPr>
          </w:p>
        </w:tc>
        <w:tc>
          <w:tcPr>
            <w:tcW w:w="624" w:type="dxa"/>
          </w:tcPr>
          <w:p w14:paraId="31EEFD6C" w14:textId="42E471B7" w:rsidR="002661E1" w:rsidRDefault="002661E1">
            <w:pPr>
              <w:pStyle w:val="TableText"/>
            </w:pPr>
          </w:p>
        </w:tc>
        <w:tc>
          <w:tcPr>
            <w:tcW w:w="624" w:type="dxa"/>
          </w:tcPr>
          <w:p w14:paraId="387CD899" w14:textId="50EB5D6F" w:rsidR="002661E1" w:rsidRDefault="002661E1">
            <w:pPr>
              <w:pStyle w:val="TableText"/>
            </w:pPr>
          </w:p>
        </w:tc>
        <w:tc>
          <w:tcPr>
            <w:tcW w:w="624" w:type="dxa"/>
          </w:tcPr>
          <w:p w14:paraId="288E408C" w14:textId="706C5100" w:rsidR="002661E1" w:rsidRDefault="002661E1">
            <w:pPr>
              <w:pStyle w:val="TableText"/>
            </w:pPr>
          </w:p>
        </w:tc>
        <w:tc>
          <w:tcPr>
            <w:tcW w:w="624" w:type="dxa"/>
          </w:tcPr>
          <w:p w14:paraId="744F01F7" w14:textId="066C5980" w:rsidR="002661E1" w:rsidRDefault="002661E1">
            <w:pPr>
              <w:pStyle w:val="TableText"/>
            </w:pPr>
          </w:p>
        </w:tc>
        <w:tc>
          <w:tcPr>
            <w:tcW w:w="4026" w:type="dxa"/>
          </w:tcPr>
          <w:p w14:paraId="160B4909" w14:textId="1A5BA708" w:rsidR="002661E1" w:rsidRPr="002661E1" w:rsidRDefault="002661E1" w:rsidP="00C57EB2">
            <w:pPr>
              <w:pStyle w:val="TableBlock"/>
              <w:numPr>
                <w:ilvl w:val="0"/>
                <w:numId w:val="18"/>
              </w:numPr>
              <w:tabs>
                <w:tab w:val="left" w:pos="624"/>
              </w:tabs>
            </w:pPr>
            <w:r w:rsidRPr="002661E1">
              <w:rPr>
                <w:rFonts w:hint="eastAsia"/>
                <w:rtl/>
              </w:rPr>
              <w:t>מס</w:t>
            </w:r>
            <w:r w:rsidRPr="002661E1">
              <w:rPr>
                <w:rtl/>
              </w:rPr>
              <w:t xml:space="preserve"> </w:t>
            </w:r>
            <w:r w:rsidRPr="002661E1">
              <w:rPr>
                <w:rFonts w:hint="eastAsia"/>
                <w:rtl/>
              </w:rPr>
              <w:t>ערך</w:t>
            </w:r>
            <w:r w:rsidRPr="002661E1">
              <w:rPr>
                <w:rtl/>
              </w:rPr>
              <w:t xml:space="preserve"> </w:t>
            </w:r>
            <w:r w:rsidRPr="002661E1">
              <w:rPr>
                <w:rFonts w:hint="eastAsia"/>
                <w:rtl/>
              </w:rPr>
              <w:t>מוסף</w:t>
            </w:r>
            <w:r w:rsidRPr="002661E1">
              <w:rPr>
                <w:rtl/>
              </w:rPr>
              <w:t xml:space="preserve"> </w:t>
            </w:r>
            <w:r w:rsidRPr="002661E1">
              <w:rPr>
                <w:rFonts w:hint="eastAsia"/>
                <w:rtl/>
              </w:rPr>
              <w:t>על</w:t>
            </w:r>
            <w:r w:rsidRPr="002661E1">
              <w:rPr>
                <w:rtl/>
              </w:rPr>
              <w:t xml:space="preserve"> </w:t>
            </w:r>
            <w:r w:rsidRPr="002661E1">
              <w:rPr>
                <w:rFonts w:hint="eastAsia"/>
                <w:rtl/>
              </w:rPr>
              <w:t>פי</w:t>
            </w:r>
            <w:r w:rsidRPr="002661E1">
              <w:rPr>
                <w:rtl/>
              </w:rPr>
              <w:t xml:space="preserve"> </w:t>
            </w:r>
            <w:r w:rsidRPr="002661E1">
              <w:rPr>
                <w:rFonts w:hint="eastAsia"/>
                <w:rtl/>
              </w:rPr>
              <w:t>חוק</w:t>
            </w:r>
            <w:r w:rsidRPr="002661E1">
              <w:rPr>
                <w:rtl/>
              </w:rPr>
              <w:t xml:space="preserve"> </w:t>
            </w:r>
            <w:r w:rsidRPr="002661E1">
              <w:rPr>
                <w:rFonts w:hint="eastAsia"/>
                <w:rtl/>
              </w:rPr>
              <w:t>מס</w:t>
            </w:r>
            <w:r w:rsidRPr="002661E1">
              <w:rPr>
                <w:rtl/>
              </w:rPr>
              <w:t xml:space="preserve"> </w:t>
            </w:r>
            <w:r w:rsidRPr="002661E1">
              <w:rPr>
                <w:rFonts w:hint="eastAsia"/>
                <w:rtl/>
              </w:rPr>
              <w:t>ערך</w:t>
            </w:r>
            <w:r w:rsidRPr="002661E1">
              <w:rPr>
                <w:rtl/>
              </w:rPr>
              <w:t xml:space="preserve"> </w:t>
            </w:r>
            <w:r w:rsidRPr="002661E1">
              <w:rPr>
                <w:rFonts w:hint="eastAsia"/>
                <w:rtl/>
              </w:rPr>
              <w:t>מוסף</w:t>
            </w:r>
            <w:r w:rsidRPr="002661E1">
              <w:rPr>
                <w:rtl/>
              </w:rPr>
              <w:t xml:space="preserve">, </w:t>
            </w:r>
            <w:r w:rsidRPr="002661E1">
              <w:rPr>
                <w:rFonts w:hint="eastAsia"/>
                <w:rtl/>
              </w:rPr>
              <w:t>התשל</w:t>
            </w:r>
            <w:r w:rsidRPr="002661E1">
              <w:rPr>
                <w:rtl/>
              </w:rPr>
              <w:t>"ו-1975</w:t>
            </w:r>
            <w:r w:rsidR="001359A4">
              <w:rPr>
                <w:rStyle w:val="a7"/>
                <w:rtl/>
              </w:rPr>
              <w:footnoteReference w:id="11"/>
            </w:r>
            <w:r w:rsidRPr="002661E1">
              <w:rPr>
                <w:rFonts w:hint="cs"/>
                <w:rtl/>
              </w:rPr>
              <w:t>;</w:t>
            </w:r>
          </w:p>
        </w:tc>
      </w:tr>
      <w:tr w:rsidR="002661E1" w14:paraId="610D4595" w14:textId="67B5379F">
        <w:trPr>
          <w:cantSplit/>
          <w:trHeight w:val="60"/>
        </w:trPr>
        <w:tc>
          <w:tcPr>
            <w:tcW w:w="1871" w:type="dxa"/>
          </w:tcPr>
          <w:p w14:paraId="40E4AFBF" w14:textId="35143E5C" w:rsidR="002661E1" w:rsidRDefault="002661E1">
            <w:pPr>
              <w:pStyle w:val="TableSideHeading"/>
            </w:pPr>
          </w:p>
        </w:tc>
        <w:tc>
          <w:tcPr>
            <w:tcW w:w="624" w:type="dxa"/>
          </w:tcPr>
          <w:p w14:paraId="20371239" w14:textId="64A92AFB" w:rsidR="002661E1" w:rsidRDefault="002661E1" w:rsidP="002661E1">
            <w:pPr>
              <w:pStyle w:val="TableText"/>
            </w:pPr>
          </w:p>
        </w:tc>
        <w:tc>
          <w:tcPr>
            <w:tcW w:w="624" w:type="dxa"/>
          </w:tcPr>
          <w:p w14:paraId="7BC2D465" w14:textId="48E2DE09" w:rsidR="002661E1" w:rsidRDefault="002661E1">
            <w:pPr>
              <w:pStyle w:val="TableText"/>
            </w:pPr>
          </w:p>
        </w:tc>
        <w:tc>
          <w:tcPr>
            <w:tcW w:w="624" w:type="dxa"/>
          </w:tcPr>
          <w:p w14:paraId="7C5B0FAA" w14:textId="426CECF7" w:rsidR="002661E1" w:rsidRDefault="002661E1">
            <w:pPr>
              <w:pStyle w:val="TableText"/>
            </w:pPr>
          </w:p>
        </w:tc>
        <w:tc>
          <w:tcPr>
            <w:tcW w:w="624" w:type="dxa"/>
          </w:tcPr>
          <w:p w14:paraId="4C74D907" w14:textId="67CB9692" w:rsidR="002661E1" w:rsidRDefault="002661E1">
            <w:pPr>
              <w:pStyle w:val="TableText"/>
            </w:pPr>
          </w:p>
        </w:tc>
        <w:tc>
          <w:tcPr>
            <w:tcW w:w="624" w:type="dxa"/>
          </w:tcPr>
          <w:p w14:paraId="39B6CD84" w14:textId="085C4CE3" w:rsidR="002661E1" w:rsidRDefault="002661E1">
            <w:pPr>
              <w:pStyle w:val="TableText"/>
            </w:pPr>
          </w:p>
        </w:tc>
        <w:tc>
          <w:tcPr>
            <w:tcW w:w="624" w:type="dxa"/>
          </w:tcPr>
          <w:p w14:paraId="34F710FA" w14:textId="57FE5EE1" w:rsidR="002661E1" w:rsidRDefault="002661E1">
            <w:pPr>
              <w:pStyle w:val="TableText"/>
            </w:pPr>
          </w:p>
        </w:tc>
        <w:tc>
          <w:tcPr>
            <w:tcW w:w="4026" w:type="dxa"/>
          </w:tcPr>
          <w:p w14:paraId="0553205D" w14:textId="7A779325" w:rsidR="002661E1" w:rsidRPr="002661E1" w:rsidRDefault="002661E1" w:rsidP="00C57EB2">
            <w:pPr>
              <w:pStyle w:val="TableBlock"/>
              <w:numPr>
                <w:ilvl w:val="0"/>
                <w:numId w:val="18"/>
              </w:numPr>
              <w:tabs>
                <w:tab w:val="left" w:pos="624"/>
              </w:tabs>
              <w:rPr>
                <w:rtl/>
              </w:rPr>
            </w:pPr>
            <w:r w:rsidRPr="002661E1">
              <w:rPr>
                <w:rFonts w:hint="eastAsia"/>
                <w:rtl/>
              </w:rPr>
              <w:t>מס</w:t>
            </w:r>
            <w:r w:rsidRPr="002661E1">
              <w:rPr>
                <w:rtl/>
              </w:rPr>
              <w:t xml:space="preserve"> </w:t>
            </w:r>
            <w:r w:rsidRPr="002661E1">
              <w:rPr>
                <w:rFonts w:hint="eastAsia"/>
                <w:rtl/>
              </w:rPr>
              <w:t>עקיף</w:t>
            </w:r>
            <w:r w:rsidRPr="002661E1">
              <w:rPr>
                <w:rtl/>
              </w:rPr>
              <w:t xml:space="preserve"> </w:t>
            </w:r>
            <w:r w:rsidRPr="002661E1">
              <w:rPr>
                <w:rFonts w:hint="eastAsia"/>
                <w:rtl/>
              </w:rPr>
              <w:t>על</w:t>
            </w:r>
            <w:r w:rsidRPr="002661E1">
              <w:rPr>
                <w:rtl/>
              </w:rPr>
              <w:t xml:space="preserve"> </w:t>
            </w:r>
            <w:r w:rsidRPr="002661E1">
              <w:rPr>
                <w:rFonts w:hint="eastAsia"/>
                <w:rtl/>
              </w:rPr>
              <w:t>פי</w:t>
            </w:r>
            <w:r w:rsidRPr="002661E1">
              <w:rPr>
                <w:rtl/>
              </w:rPr>
              <w:t xml:space="preserve"> </w:t>
            </w:r>
            <w:r w:rsidRPr="002661E1">
              <w:rPr>
                <w:rFonts w:hint="eastAsia"/>
                <w:rtl/>
              </w:rPr>
              <w:t>חוק</w:t>
            </w:r>
            <w:r w:rsidRPr="002661E1">
              <w:rPr>
                <w:rtl/>
              </w:rPr>
              <w:t xml:space="preserve"> </w:t>
            </w:r>
            <w:proofErr w:type="spellStart"/>
            <w:r w:rsidRPr="002661E1">
              <w:rPr>
                <w:rFonts w:hint="eastAsia"/>
                <w:rtl/>
              </w:rPr>
              <w:t>מסים</w:t>
            </w:r>
            <w:proofErr w:type="spellEnd"/>
            <w:r w:rsidRPr="002661E1">
              <w:rPr>
                <w:rtl/>
              </w:rPr>
              <w:t xml:space="preserve"> </w:t>
            </w:r>
            <w:r w:rsidRPr="002661E1">
              <w:rPr>
                <w:rFonts w:hint="eastAsia"/>
                <w:rtl/>
              </w:rPr>
              <w:t>עקיפים</w:t>
            </w:r>
            <w:r w:rsidRPr="002661E1">
              <w:rPr>
                <w:rtl/>
              </w:rPr>
              <w:t xml:space="preserve"> (מס </w:t>
            </w:r>
            <w:r w:rsidRPr="002661E1">
              <w:rPr>
                <w:rFonts w:hint="eastAsia"/>
                <w:rtl/>
              </w:rPr>
              <w:t>ששולם</w:t>
            </w:r>
            <w:r w:rsidRPr="002661E1">
              <w:rPr>
                <w:rtl/>
              </w:rPr>
              <w:t xml:space="preserve"> </w:t>
            </w:r>
            <w:r w:rsidRPr="002661E1">
              <w:rPr>
                <w:rFonts w:hint="eastAsia"/>
                <w:rtl/>
              </w:rPr>
              <w:t>ביתר</w:t>
            </w:r>
            <w:r w:rsidRPr="002661E1">
              <w:rPr>
                <w:rtl/>
              </w:rPr>
              <w:t xml:space="preserve"> </w:t>
            </w:r>
            <w:r w:rsidRPr="002661E1">
              <w:rPr>
                <w:rFonts w:hint="eastAsia"/>
                <w:rtl/>
              </w:rPr>
              <w:t>או</w:t>
            </w:r>
            <w:r w:rsidRPr="002661E1">
              <w:rPr>
                <w:rtl/>
              </w:rPr>
              <w:t xml:space="preserve"> </w:t>
            </w:r>
            <w:r w:rsidRPr="002661E1">
              <w:rPr>
                <w:rFonts w:hint="eastAsia"/>
                <w:rtl/>
              </w:rPr>
              <w:t>בחסר</w:t>
            </w:r>
            <w:r w:rsidRPr="002661E1">
              <w:rPr>
                <w:rtl/>
              </w:rPr>
              <w:t xml:space="preserve">), </w:t>
            </w:r>
            <w:r w:rsidRPr="002661E1">
              <w:rPr>
                <w:rFonts w:hint="eastAsia"/>
                <w:rtl/>
              </w:rPr>
              <w:t>התשכ</w:t>
            </w:r>
            <w:r w:rsidRPr="002661E1">
              <w:rPr>
                <w:rtl/>
              </w:rPr>
              <w:t>"ח-1968</w:t>
            </w:r>
            <w:r w:rsidRPr="002661E1">
              <w:rPr>
                <w:rFonts w:hint="cs"/>
                <w:rtl/>
              </w:rPr>
              <w:t xml:space="preserve"> </w:t>
            </w:r>
            <w:r w:rsidR="001359A4">
              <w:rPr>
                <w:rStyle w:val="a7"/>
                <w:rtl/>
              </w:rPr>
              <w:footnoteReference w:id="12"/>
            </w:r>
            <w:r w:rsidRPr="002661E1">
              <w:rPr>
                <w:rFonts w:hint="cs"/>
                <w:rtl/>
              </w:rPr>
              <w:t>;</w:t>
            </w:r>
          </w:p>
        </w:tc>
      </w:tr>
      <w:tr w:rsidR="002661E1" w14:paraId="0ED8F23C" w14:textId="3C7C304D">
        <w:trPr>
          <w:cantSplit/>
          <w:trHeight w:val="60"/>
        </w:trPr>
        <w:tc>
          <w:tcPr>
            <w:tcW w:w="1871" w:type="dxa"/>
          </w:tcPr>
          <w:p w14:paraId="363627B6" w14:textId="2E23ABC0" w:rsidR="002661E1" w:rsidRDefault="002661E1">
            <w:pPr>
              <w:pStyle w:val="TableSideHeading"/>
            </w:pPr>
          </w:p>
        </w:tc>
        <w:tc>
          <w:tcPr>
            <w:tcW w:w="624" w:type="dxa"/>
          </w:tcPr>
          <w:p w14:paraId="569E33BA" w14:textId="2980A830" w:rsidR="002661E1" w:rsidRDefault="002661E1" w:rsidP="002661E1">
            <w:pPr>
              <w:pStyle w:val="TableText"/>
            </w:pPr>
          </w:p>
        </w:tc>
        <w:tc>
          <w:tcPr>
            <w:tcW w:w="624" w:type="dxa"/>
          </w:tcPr>
          <w:p w14:paraId="0E3352C5" w14:textId="47C0FF32" w:rsidR="002661E1" w:rsidRDefault="002661E1">
            <w:pPr>
              <w:pStyle w:val="TableText"/>
            </w:pPr>
          </w:p>
        </w:tc>
        <w:tc>
          <w:tcPr>
            <w:tcW w:w="624" w:type="dxa"/>
          </w:tcPr>
          <w:p w14:paraId="61FB0E21" w14:textId="520AFF20" w:rsidR="002661E1" w:rsidRDefault="002661E1">
            <w:pPr>
              <w:pStyle w:val="TableText"/>
            </w:pPr>
          </w:p>
        </w:tc>
        <w:tc>
          <w:tcPr>
            <w:tcW w:w="624" w:type="dxa"/>
          </w:tcPr>
          <w:p w14:paraId="7759FB86" w14:textId="0AEA3FED" w:rsidR="002661E1" w:rsidRDefault="002661E1">
            <w:pPr>
              <w:pStyle w:val="TableText"/>
            </w:pPr>
          </w:p>
        </w:tc>
        <w:tc>
          <w:tcPr>
            <w:tcW w:w="624" w:type="dxa"/>
          </w:tcPr>
          <w:p w14:paraId="52134754" w14:textId="57A31DA5" w:rsidR="002661E1" w:rsidRDefault="002661E1">
            <w:pPr>
              <w:pStyle w:val="TableText"/>
            </w:pPr>
          </w:p>
        </w:tc>
        <w:tc>
          <w:tcPr>
            <w:tcW w:w="624" w:type="dxa"/>
          </w:tcPr>
          <w:p w14:paraId="48A440E6" w14:textId="27B525C6" w:rsidR="002661E1" w:rsidRDefault="002661E1">
            <w:pPr>
              <w:pStyle w:val="TableText"/>
            </w:pPr>
          </w:p>
        </w:tc>
        <w:tc>
          <w:tcPr>
            <w:tcW w:w="4026" w:type="dxa"/>
          </w:tcPr>
          <w:p w14:paraId="605A9A29" w14:textId="70CB25F6" w:rsidR="002661E1" w:rsidRPr="002661E1" w:rsidRDefault="002661E1" w:rsidP="00C57EB2">
            <w:pPr>
              <w:pStyle w:val="TableBlock"/>
              <w:numPr>
                <w:ilvl w:val="0"/>
                <w:numId w:val="18"/>
              </w:numPr>
              <w:tabs>
                <w:tab w:val="left" w:pos="624"/>
              </w:tabs>
              <w:rPr>
                <w:rtl/>
              </w:rPr>
            </w:pPr>
            <w:r w:rsidRPr="002661E1">
              <w:rPr>
                <w:rFonts w:hint="eastAsia"/>
                <w:rtl/>
              </w:rPr>
              <w:t>מס</w:t>
            </w:r>
            <w:r w:rsidRPr="002661E1">
              <w:rPr>
                <w:rtl/>
              </w:rPr>
              <w:t xml:space="preserve"> </w:t>
            </w:r>
            <w:r w:rsidRPr="002661E1">
              <w:rPr>
                <w:rFonts w:hint="eastAsia"/>
                <w:rtl/>
              </w:rPr>
              <w:t>שנוכה</w:t>
            </w:r>
            <w:r w:rsidRPr="002661E1">
              <w:rPr>
                <w:rtl/>
              </w:rPr>
              <w:t xml:space="preserve"> </w:t>
            </w:r>
            <w:r w:rsidRPr="002661E1">
              <w:rPr>
                <w:rFonts w:hint="eastAsia"/>
                <w:rtl/>
              </w:rPr>
              <w:t>במקור</w:t>
            </w:r>
            <w:r w:rsidRPr="002661E1">
              <w:rPr>
                <w:rtl/>
              </w:rPr>
              <w:t xml:space="preserve"> </w:t>
            </w:r>
            <w:r w:rsidRPr="002661E1">
              <w:rPr>
                <w:rFonts w:hint="eastAsia"/>
                <w:rtl/>
              </w:rPr>
              <w:t>שלא</w:t>
            </w:r>
            <w:r w:rsidRPr="002661E1">
              <w:rPr>
                <w:rtl/>
              </w:rPr>
              <w:t xml:space="preserve"> </w:t>
            </w:r>
            <w:r w:rsidRPr="002661E1">
              <w:rPr>
                <w:rFonts w:hint="eastAsia"/>
                <w:rtl/>
              </w:rPr>
              <w:t>כדין</w:t>
            </w:r>
            <w:r w:rsidRPr="002661E1">
              <w:rPr>
                <w:rtl/>
              </w:rPr>
              <w:t xml:space="preserve"> </w:t>
            </w:r>
            <w:r w:rsidRPr="002661E1">
              <w:rPr>
                <w:rFonts w:hint="eastAsia"/>
                <w:rtl/>
              </w:rPr>
              <w:t>בהתאם</w:t>
            </w:r>
            <w:r w:rsidRPr="002661E1">
              <w:rPr>
                <w:rtl/>
              </w:rPr>
              <w:t xml:space="preserve"> </w:t>
            </w:r>
            <w:r w:rsidRPr="002661E1">
              <w:rPr>
                <w:rFonts w:hint="eastAsia"/>
                <w:rtl/>
              </w:rPr>
              <w:t>להוראות</w:t>
            </w:r>
            <w:r w:rsidRPr="002661E1">
              <w:rPr>
                <w:rtl/>
              </w:rPr>
              <w:t xml:space="preserve"> </w:t>
            </w:r>
            <w:r w:rsidRPr="002661E1">
              <w:rPr>
                <w:rFonts w:hint="eastAsia"/>
                <w:rtl/>
              </w:rPr>
              <w:t>פקודת</w:t>
            </w:r>
            <w:r w:rsidRPr="002661E1">
              <w:rPr>
                <w:rtl/>
              </w:rPr>
              <w:t xml:space="preserve"> </w:t>
            </w:r>
            <w:r w:rsidRPr="002661E1">
              <w:rPr>
                <w:rFonts w:hint="eastAsia"/>
                <w:rtl/>
              </w:rPr>
              <w:t>מס</w:t>
            </w:r>
            <w:r w:rsidRPr="002661E1">
              <w:rPr>
                <w:rtl/>
              </w:rPr>
              <w:t xml:space="preserve"> </w:t>
            </w:r>
            <w:r w:rsidRPr="002661E1">
              <w:rPr>
                <w:rFonts w:hint="eastAsia"/>
                <w:rtl/>
              </w:rPr>
              <w:t>הכנסה</w:t>
            </w:r>
            <w:r>
              <w:rPr>
                <w:rFonts w:hint="cs"/>
                <w:rtl/>
              </w:rPr>
              <w:t>.</w:t>
            </w:r>
          </w:p>
        </w:tc>
      </w:tr>
      <w:tr w:rsidR="002661E1" w14:paraId="1307C9A7" w14:textId="77777777">
        <w:trPr>
          <w:cantSplit/>
          <w:trHeight w:val="60"/>
        </w:trPr>
        <w:tc>
          <w:tcPr>
            <w:tcW w:w="1871" w:type="dxa"/>
          </w:tcPr>
          <w:p w14:paraId="3981E3DF" w14:textId="77777777" w:rsidR="002661E1" w:rsidRDefault="002661E1">
            <w:pPr>
              <w:pStyle w:val="TableSideHeading"/>
            </w:pPr>
          </w:p>
        </w:tc>
        <w:tc>
          <w:tcPr>
            <w:tcW w:w="624" w:type="dxa"/>
          </w:tcPr>
          <w:p w14:paraId="470FC045" w14:textId="77777777" w:rsidR="002661E1" w:rsidRDefault="002661E1">
            <w:pPr>
              <w:pStyle w:val="TableText"/>
            </w:pPr>
          </w:p>
        </w:tc>
        <w:tc>
          <w:tcPr>
            <w:tcW w:w="624" w:type="dxa"/>
          </w:tcPr>
          <w:p w14:paraId="4250043D" w14:textId="77777777" w:rsidR="002661E1" w:rsidRDefault="002661E1">
            <w:pPr>
              <w:pStyle w:val="TableText"/>
            </w:pPr>
          </w:p>
        </w:tc>
        <w:tc>
          <w:tcPr>
            <w:tcW w:w="624" w:type="dxa"/>
          </w:tcPr>
          <w:p w14:paraId="12BF6497" w14:textId="77777777" w:rsidR="002661E1" w:rsidRDefault="002661E1">
            <w:pPr>
              <w:pStyle w:val="TableText"/>
            </w:pPr>
          </w:p>
        </w:tc>
        <w:tc>
          <w:tcPr>
            <w:tcW w:w="624" w:type="dxa"/>
          </w:tcPr>
          <w:p w14:paraId="5382B2D2" w14:textId="77777777" w:rsidR="002661E1" w:rsidRDefault="002661E1">
            <w:pPr>
              <w:pStyle w:val="TableText"/>
            </w:pPr>
          </w:p>
        </w:tc>
        <w:tc>
          <w:tcPr>
            <w:tcW w:w="624" w:type="dxa"/>
          </w:tcPr>
          <w:p w14:paraId="58130472" w14:textId="77777777" w:rsidR="002661E1" w:rsidRDefault="002661E1">
            <w:pPr>
              <w:pStyle w:val="TableText"/>
            </w:pPr>
          </w:p>
        </w:tc>
        <w:tc>
          <w:tcPr>
            <w:tcW w:w="4650" w:type="dxa"/>
            <w:gridSpan w:val="2"/>
          </w:tcPr>
          <w:p w14:paraId="6C9E614D" w14:textId="50E2D0C3" w:rsidR="002661E1" w:rsidRDefault="002661E1" w:rsidP="00C57EB2">
            <w:pPr>
              <w:pStyle w:val="TableBlock"/>
              <w:numPr>
                <w:ilvl w:val="0"/>
                <w:numId w:val="17"/>
              </w:numPr>
              <w:tabs>
                <w:tab w:val="left" w:pos="624"/>
              </w:tabs>
            </w:pPr>
            <w:r>
              <w:rPr>
                <w:rFonts w:hint="cs"/>
                <w:rtl/>
              </w:rPr>
              <w:t xml:space="preserve">הוגשה </w:t>
            </w:r>
            <w:r w:rsidRPr="002661E1">
              <w:rPr>
                <w:rtl/>
              </w:rPr>
              <w:t xml:space="preserve">בקשה כאמור, רשאית רשות </w:t>
            </w:r>
            <w:proofErr w:type="spellStart"/>
            <w:r w:rsidRPr="002661E1">
              <w:rPr>
                <w:rtl/>
              </w:rPr>
              <w:t>המסים</w:t>
            </w:r>
            <w:proofErr w:type="spellEnd"/>
            <w:r w:rsidRPr="002661E1">
              <w:rPr>
                <w:rtl/>
              </w:rPr>
              <w:t xml:space="preserve"> להצטרף כצד להליך; </w:t>
            </w:r>
            <w:r w:rsidRPr="002661E1">
              <w:rPr>
                <w:rFonts w:hint="eastAsia"/>
                <w:rtl/>
              </w:rPr>
              <w:t>הודיעה</w:t>
            </w:r>
            <w:r w:rsidRPr="002661E1">
              <w:rPr>
                <w:rtl/>
              </w:rPr>
              <w:t xml:space="preserve"> רשות </w:t>
            </w:r>
            <w:proofErr w:type="spellStart"/>
            <w:r w:rsidRPr="002661E1">
              <w:rPr>
                <w:rtl/>
              </w:rPr>
              <w:t>המסים</w:t>
            </w:r>
            <w:proofErr w:type="spellEnd"/>
            <w:r w:rsidRPr="002661E1">
              <w:rPr>
                <w:rtl/>
              </w:rPr>
              <w:t xml:space="preserve"> </w:t>
            </w:r>
            <w:r w:rsidRPr="002661E1">
              <w:rPr>
                <w:rFonts w:hint="eastAsia"/>
                <w:rtl/>
              </w:rPr>
              <w:t>לבית</w:t>
            </w:r>
            <w:r w:rsidRPr="002661E1">
              <w:rPr>
                <w:rtl/>
              </w:rPr>
              <w:t xml:space="preserve"> המשפט על הצטרפותה כצד להליך, יראו את התובענה כאילו הוגשה גם נגדה במועד </w:t>
            </w:r>
            <w:r w:rsidRPr="002661E1">
              <w:rPr>
                <w:rFonts w:hint="eastAsia"/>
                <w:rtl/>
              </w:rPr>
              <w:t>ש</w:t>
            </w:r>
            <w:r w:rsidRPr="002661E1">
              <w:rPr>
                <w:rtl/>
              </w:rPr>
              <w:t xml:space="preserve">בו הומצאה לידה הבקשה ובית המשפט יורה על העברת הדיון בבקשה לבית המשפט לעניינים </w:t>
            </w:r>
            <w:proofErr w:type="spellStart"/>
            <w:r w:rsidRPr="002661E1">
              <w:rPr>
                <w:rtl/>
              </w:rPr>
              <w:t>מ</w:t>
            </w:r>
            <w:r w:rsidRPr="002661E1">
              <w:rPr>
                <w:rFonts w:hint="eastAsia"/>
                <w:rtl/>
              </w:rPr>
              <w:t>י</w:t>
            </w:r>
            <w:r w:rsidRPr="002661E1">
              <w:rPr>
                <w:rtl/>
              </w:rPr>
              <w:t>נהליים</w:t>
            </w:r>
            <w:proofErr w:type="spellEnd"/>
            <w:r w:rsidRPr="002661E1">
              <w:rPr>
                <w:rtl/>
              </w:rPr>
              <w:t>.</w:t>
            </w:r>
          </w:p>
        </w:tc>
      </w:tr>
      <w:tr w:rsidR="004F4F25" w14:paraId="7DEFDAB2" w14:textId="77777777">
        <w:trPr>
          <w:cantSplit/>
          <w:trHeight w:val="60"/>
        </w:trPr>
        <w:tc>
          <w:tcPr>
            <w:tcW w:w="1871" w:type="dxa"/>
          </w:tcPr>
          <w:p w14:paraId="4D13FAF4" w14:textId="77777777" w:rsidR="004F4F25" w:rsidRDefault="004F4F25">
            <w:pPr>
              <w:pStyle w:val="TableSideHeading"/>
            </w:pPr>
          </w:p>
        </w:tc>
        <w:tc>
          <w:tcPr>
            <w:tcW w:w="624" w:type="dxa"/>
          </w:tcPr>
          <w:p w14:paraId="128F39C9" w14:textId="77777777" w:rsidR="004F4F25" w:rsidRDefault="004F4F25" w:rsidP="004F4F25">
            <w:pPr>
              <w:pStyle w:val="TableText"/>
            </w:pPr>
          </w:p>
        </w:tc>
        <w:tc>
          <w:tcPr>
            <w:tcW w:w="624" w:type="dxa"/>
          </w:tcPr>
          <w:p w14:paraId="1BA89104" w14:textId="77777777" w:rsidR="004F4F25" w:rsidRDefault="004F4F25">
            <w:pPr>
              <w:pStyle w:val="TableText"/>
            </w:pPr>
          </w:p>
        </w:tc>
        <w:tc>
          <w:tcPr>
            <w:tcW w:w="624" w:type="dxa"/>
          </w:tcPr>
          <w:p w14:paraId="2CCFF463" w14:textId="77777777" w:rsidR="004F4F25" w:rsidRDefault="004F4F25">
            <w:pPr>
              <w:pStyle w:val="TableText"/>
            </w:pPr>
          </w:p>
        </w:tc>
        <w:tc>
          <w:tcPr>
            <w:tcW w:w="624" w:type="dxa"/>
          </w:tcPr>
          <w:p w14:paraId="40DF3AB4" w14:textId="77777777" w:rsidR="004F4F25" w:rsidRDefault="004F4F25">
            <w:pPr>
              <w:pStyle w:val="TableText"/>
            </w:pPr>
          </w:p>
        </w:tc>
        <w:tc>
          <w:tcPr>
            <w:tcW w:w="624" w:type="dxa"/>
          </w:tcPr>
          <w:p w14:paraId="4EDBE2D5" w14:textId="77777777" w:rsidR="004F4F25" w:rsidRDefault="004F4F25">
            <w:pPr>
              <w:pStyle w:val="TableText"/>
            </w:pPr>
          </w:p>
        </w:tc>
        <w:tc>
          <w:tcPr>
            <w:tcW w:w="4650" w:type="dxa"/>
            <w:gridSpan w:val="2"/>
          </w:tcPr>
          <w:p w14:paraId="6499DE3E" w14:textId="2B887310" w:rsidR="004F4F25" w:rsidRDefault="004F4F25" w:rsidP="00C57EB2">
            <w:pPr>
              <w:pStyle w:val="TableBlock"/>
              <w:numPr>
                <w:ilvl w:val="0"/>
                <w:numId w:val="17"/>
              </w:numPr>
              <w:tabs>
                <w:tab w:val="left" w:pos="624"/>
              </w:tabs>
              <w:rPr>
                <w:rtl/>
              </w:rPr>
            </w:pPr>
            <w:r w:rsidRPr="004F4F25">
              <w:rPr>
                <w:rtl/>
              </w:rPr>
              <w:t xml:space="preserve">בית המשפט </w:t>
            </w:r>
            <w:r w:rsidRPr="004F4F25">
              <w:rPr>
                <w:rFonts w:hint="eastAsia"/>
                <w:rtl/>
              </w:rPr>
              <w:t>לעניינים</w:t>
            </w:r>
            <w:r w:rsidRPr="004F4F25">
              <w:rPr>
                <w:rtl/>
              </w:rPr>
              <w:t xml:space="preserve"> </w:t>
            </w:r>
            <w:proofErr w:type="spellStart"/>
            <w:r w:rsidRPr="004F4F25">
              <w:rPr>
                <w:rFonts w:hint="eastAsia"/>
                <w:rtl/>
              </w:rPr>
              <w:t>מינהליים</w:t>
            </w:r>
            <w:proofErr w:type="spellEnd"/>
            <w:r w:rsidRPr="004F4F25">
              <w:rPr>
                <w:rtl/>
              </w:rPr>
              <w:t xml:space="preserve"> לא ידון בבקשה כאמור אלא לאחר שחלפה תקופה של </w:t>
            </w:r>
            <w:r>
              <w:rPr>
                <w:rFonts w:hint="cs"/>
                <w:rtl/>
              </w:rPr>
              <w:t>90</w:t>
            </w:r>
            <w:r w:rsidRPr="004F4F25">
              <w:rPr>
                <w:rtl/>
              </w:rPr>
              <w:t xml:space="preserve"> י</w:t>
            </w:r>
            <w:r w:rsidRPr="004F4F25">
              <w:rPr>
                <w:rFonts w:hint="eastAsia"/>
                <w:rtl/>
              </w:rPr>
              <w:t>מים</w:t>
            </w:r>
            <w:r w:rsidRPr="004F4F25">
              <w:rPr>
                <w:rtl/>
              </w:rPr>
              <w:t xml:space="preserve"> ממועד המצאת הבקשה לרשות </w:t>
            </w:r>
            <w:proofErr w:type="spellStart"/>
            <w:r w:rsidRPr="004F4F25">
              <w:rPr>
                <w:rtl/>
              </w:rPr>
              <w:t>המסים</w:t>
            </w:r>
            <w:proofErr w:type="spellEnd"/>
            <w:r w:rsidRPr="004F4F25">
              <w:rPr>
                <w:rtl/>
              </w:rPr>
              <w:t xml:space="preserve"> ובית המשפט רשאי להאריך תקופה זו מטעמים שירשמ</w:t>
            </w:r>
            <w:r w:rsidRPr="004F4F25">
              <w:rPr>
                <w:rFonts w:hint="eastAsia"/>
                <w:rtl/>
              </w:rPr>
              <w:t>ו</w:t>
            </w:r>
            <w:r w:rsidRPr="004F4F25">
              <w:rPr>
                <w:rtl/>
              </w:rPr>
              <w:t xml:space="preserve"> (בסעיף זה – המועד הקובע).</w:t>
            </w:r>
          </w:p>
        </w:tc>
      </w:tr>
      <w:tr w:rsidR="004F4F25" w14:paraId="061AD121" w14:textId="77777777">
        <w:trPr>
          <w:cantSplit/>
          <w:trHeight w:val="60"/>
        </w:trPr>
        <w:tc>
          <w:tcPr>
            <w:tcW w:w="1871" w:type="dxa"/>
          </w:tcPr>
          <w:p w14:paraId="27AF5C90" w14:textId="77777777" w:rsidR="004F4F25" w:rsidRDefault="004F4F25">
            <w:pPr>
              <w:pStyle w:val="TableSideHeading"/>
            </w:pPr>
          </w:p>
        </w:tc>
        <w:tc>
          <w:tcPr>
            <w:tcW w:w="624" w:type="dxa"/>
          </w:tcPr>
          <w:p w14:paraId="0D7EC09B" w14:textId="77777777" w:rsidR="004F4F25" w:rsidRDefault="004F4F25" w:rsidP="004F4F25">
            <w:pPr>
              <w:pStyle w:val="TableText"/>
            </w:pPr>
          </w:p>
        </w:tc>
        <w:tc>
          <w:tcPr>
            <w:tcW w:w="624" w:type="dxa"/>
          </w:tcPr>
          <w:p w14:paraId="52AFA7F0" w14:textId="77777777" w:rsidR="004F4F25" w:rsidRDefault="004F4F25">
            <w:pPr>
              <w:pStyle w:val="TableText"/>
            </w:pPr>
          </w:p>
        </w:tc>
        <w:tc>
          <w:tcPr>
            <w:tcW w:w="624" w:type="dxa"/>
          </w:tcPr>
          <w:p w14:paraId="37CA93C8" w14:textId="77777777" w:rsidR="004F4F25" w:rsidRDefault="004F4F25">
            <w:pPr>
              <w:pStyle w:val="TableText"/>
            </w:pPr>
          </w:p>
        </w:tc>
        <w:tc>
          <w:tcPr>
            <w:tcW w:w="624" w:type="dxa"/>
          </w:tcPr>
          <w:p w14:paraId="71942137" w14:textId="77777777" w:rsidR="004F4F25" w:rsidRDefault="004F4F25">
            <w:pPr>
              <w:pStyle w:val="TableText"/>
            </w:pPr>
          </w:p>
        </w:tc>
        <w:tc>
          <w:tcPr>
            <w:tcW w:w="624" w:type="dxa"/>
          </w:tcPr>
          <w:p w14:paraId="5ACB38B5" w14:textId="77777777" w:rsidR="004F4F25" w:rsidRDefault="004F4F25">
            <w:pPr>
              <w:pStyle w:val="TableText"/>
            </w:pPr>
          </w:p>
        </w:tc>
        <w:tc>
          <w:tcPr>
            <w:tcW w:w="4650" w:type="dxa"/>
            <w:gridSpan w:val="2"/>
          </w:tcPr>
          <w:p w14:paraId="414B702A" w14:textId="60990741" w:rsidR="004F4F25" w:rsidRPr="004F4F25" w:rsidRDefault="004F4F25" w:rsidP="00C57EB2">
            <w:pPr>
              <w:pStyle w:val="TableBlock"/>
              <w:numPr>
                <w:ilvl w:val="0"/>
                <w:numId w:val="17"/>
              </w:numPr>
              <w:tabs>
                <w:tab w:val="left" w:pos="624"/>
              </w:tabs>
              <w:rPr>
                <w:rtl/>
              </w:rPr>
            </w:pPr>
            <w:r w:rsidRPr="004F4F25">
              <w:rPr>
                <w:rtl/>
              </w:rPr>
              <w:t xml:space="preserve">בית המשפט </w:t>
            </w:r>
            <w:r w:rsidRPr="004F4F25">
              <w:rPr>
                <w:rFonts w:hint="eastAsia"/>
                <w:rtl/>
              </w:rPr>
              <w:t>לעניינים</w:t>
            </w:r>
            <w:r w:rsidRPr="004F4F25">
              <w:rPr>
                <w:rtl/>
              </w:rPr>
              <w:t xml:space="preserve"> </w:t>
            </w:r>
            <w:proofErr w:type="spellStart"/>
            <w:r w:rsidRPr="004F4F25">
              <w:rPr>
                <w:rFonts w:hint="eastAsia"/>
                <w:rtl/>
              </w:rPr>
              <w:t>מינהליים</w:t>
            </w:r>
            <w:proofErr w:type="spellEnd"/>
            <w:r w:rsidRPr="004F4F25">
              <w:rPr>
                <w:rtl/>
              </w:rPr>
              <w:t xml:space="preserve"> לא יאשר תובענה ייצוגית נגד רשות </w:t>
            </w:r>
            <w:proofErr w:type="spellStart"/>
            <w:r w:rsidRPr="004F4F25">
              <w:rPr>
                <w:rtl/>
              </w:rPr>
              <w:t>המסים</w:t>
            </w:r>
            <w:proofErr w:type="spellEnd"/>
            <w:r w:rsidRPr="004F4F25">
              <w:rPr>
                <w:rtl/>
              </w:rPr>
              <w:t xml:space="preserve"> בתביעה כאמור, אם הודיעה רשות </w:t>
            </w:r>
            <w:proofErr w:type="spellStart"/>
            <w:r w:rsidRPr="004F4F25">
              <w:rPr>
                <w:rtl/>
              </w:rPr>
              <w:t>המסים</w:t>
            </w:r>
            <w:proofErr w:type="spellEnd"/>
            <w:r w:rsidRPr="004F4F25">
              <w:rPr>
                <w:rtl/>
              </w:rPr>
              <w:t xml:space="preserve"> </w:t>
            </w:r>
            <w:r w:rsidRPr="004F4F25">
              <w:rPr>
                <w:rFonts w:hint="eastAsia"/>
                <w:rtl/>
              </w:rPr>
              <w:t>לנתבע</w:t>
            </w:r>
            <w:r w:rsidRPr="004F4F25">
              <w:rPr>
                <w:rtl/>
              </w:rPr>
              <w:t xml:space="preserve"> לכל המאוחר במועד הקובע, כי על</w:t>
            </w:r>
            <w:r w:rsidRPr="004F4F25">
              <w:rPr>
                <w:rFonts w:hint="eastAsia"/>
                <w:rtl/>
              </w:rPr>
              <w:t>יו</w:t>
            </w:r>
            <w:r w:rsidRPr="004F4F25">
              <w:rPr>
                <w:rtl/>
              </w:rPr>
              <w:t xml:space="preserve"> לחדול מהגביה </w:t>
            </w:r>
            <w:r w:rsidR="00386A08" w:rsidRPr="004F4F25">
              <w:rPr>
                <w:rtl/>
              </w:rPr>
              <w:t>שב</w:t>
            </w:r>
            <w:r w:rsidR="00386A08">
              <w:rPr>
                <w:rFonts w:hint="cs"/>
                <w:rtl/>
              </w:rPr>
              <w:t>עניינה</w:t>
            </w:r>
            <w:r w:rsidR="00386A08" w:rsidRPr="004F4F25">
              <w:rPr>
                <w:rtl/>
              </w:rPr>
              <w:t xml:space="preserve"> </w:t>
            </w:r>
            <w:r w:rsidRPr="004F4F25">
              <w:rPr>
                <w:rtl/>
              </w:rPr>
              <w:t>הוגשה הבקשה לאיש</w:t>
            </w:r>
            <w:r w:rsidRPr="004F4F25">
              <w:rPr>
                <w:rFonts w:hint="eastAsia"/>
                <w:rtl/>
              </w:rPr>
              <w:t>ור</w:t>
            </w:r>
            <w:r w:rsidRPr="004F4F25">
              <w:rPr>
                <w:rtl/>
              </w:rPr>
              <w:t>.</w:t>
            </w:r>
          </w:p>
        </w:tc>
      </w:tr>
      <w:tr w:rsidR="004F4F25" w14:paraId="2E7BB2D3" w14:textId="77777777">
        <w:trPr>
          <w:cantSplit/>
          <w:trHeight w:val="60"/>
        </w:trPr>
        <w:tc>
          <w:tcPr>
            <w:tcW w:w="1871" w:type="dxa"/>
          </w:tcPr>
          <w:p w14:paraId="0DC379EC" w14:textId="77777777" w:rsidR="004F4F25" w:rsidRDefault="004F4F25">
            <w:pPr>
              <w:pStyle w:val="TableSideHeading"/>
            </w:pPr>
          </w:p>
        </w:tc>
        <w:tc>
          <w:tcPr>
            <w:tcW w:w="624" w:type="dxa"/>
          </w:tcPr>
          <w:p w14:paraId="1F28FFD8" w14:textId="77777777" w:rsidR="004F4F25" w:rsidRDefault="004F4F25" w:rsidP="004F4F25">
            <w:pPr>
              <w:pStyle w:val="TableText"/>
            </w:pPr>
          </w:p>
        </w:tc>
        <w:tc>
          <w:tcPr>
            <w:tcW w:w="624" w:type="dxa"/>
          </w:tcPr>
          <w:p w14:paraId="02EBC249" w14:textId="77777777" w:rsidR="004F4F25" w:rsidRDefault="004F4F25">
            <w:pPr>
              <w:pStyle w:val="TableText"/>
            </w:pPr>
          </w:p>
        </w:tc>
        <w:tc>
          <w:tcPr>
            <w:tcW w:w="624" w:type="dxa"/>
          </w:tcPr>
          <w:p w14:paraId="29892291" w14:textId="77777777" w:rsidR="004F4F25" w:rsidRDefault="004F4F25">
            <w:pPr>
              <w:pStyle w:val="TableText"/>
            </w:pPr>
          </w:p>
        </w:tc>
        <w:tc>
          <w:tcPr>
            <w:tcW w:w="624" w:type="dxa"/>
          </w:tcPr>
          <w:p w14:paraId="0CFFE96D" w14:textId="77777777" w:rsidR="004F4F25" w:rsidRDefault="004F4F25">
            <w:pPr>
              <w:pStyle w:val="TableText"/>
            </w:pPr>
          </w:p>
        </w:tc>
        <w:tc>
          <w:tcPr>
            <w:tcW w:w="624" w:type="dxa"/>
          </w:tcPr>
          <w:p w14:paraId="50AAAF6C" w14:textId="77777777" w:rsidR="004F4F25" w:rsidRDefault="004F4F25">
            <w:pPr>
              <w:pStyle w:val="TableText"/>
            </w:pPr>
          </w:p>
        </w:tc>
        <w:tc>
          <w:tcPr>
            <w:tcW w:w="4650" w:type="dxa"/>
            <w:gridSpan w:val="2"/>
          </w:tcPr>
          <w:p w14:paraId="3F189E3F" w14:textId="15CC0CBC" w:rsidR="004F4F25" w:rsidRPr="004F4F25" w:rsidRDefault="004F4F25" w:rsidP="00C57EB2">
            <w:pPr>
              <w:pStyle w:val="TableBlock"/>
              <w:numPr>
                <w:ilvl w:val="0"/>
                <w:numId w:val="17"/>
              </w:numPr>
              <w:tabs>
                <w:tab w:val="left" w:pos="624"/>
              </w:tabs>
              <w:rPr>
                <w:rtl/>
              </w:rPr>
            </w:pPr>
            <w:r w:rsidRPr="004F4F25">
              <w:rPr>
                <w:rFonts w:hint="eastAsia"/>
                <w:rtl/>
              </w:rPr>
              <w:t>הוכח</w:t>
            </w:r>
            <w:r w:rsidRPr="004F4F25">
              <w:rPr>
                <w:rtl/>
              </w:rPr>
              <w:t xml:space="preserve"> לבית המשפט </w:t>
            </w:r>
            <w:r w:rsidRPr="004F4F25">
              <w:rPr>
                <w:rFonts w:hint="eastAsia"/>
                <w:rtl/>
              </w:rPr>
              <w:t>לעניינים</w:t>
            </w:r>
            <w:r w:rsidRPr="004F4F25">
              <w:rPr>
                <w:rtl/>
              </w:rPr>
              <w:t xml:space="preserve"> </w:t>
            </w:r>
            <w:proofErr w:type="spellStart"/>
            <w:r w:rsidRPr="004F4F25">
              <w:rPr>
                <w:rFonts w:hint="eastAsia"/>
                <w:rtl/>
              </w:rPr>
              <w:t>מינהליים</w:t>
            </w:r>
            <w:proofErr w:type="spellEnd"/>
            <w:r w:rsidRPr="004F4F25">
              <w:rPr>
                <w:rtl/>
              </w:rPr>
              <w:t xml:space="preserve"> כי הנתבע חדל מהגבייה בהתאם להודעת רשות </w:t>
            </w:r>
            <w:proofErr w:type="spellStart"/>
            <w:r w:rsidRPr="004F4F25">
              <w:rPr>
                <w:rtl/>
              </w:rPr>
              <w:t>המסים</w:t>
            </w:r>
            <w:proofErr w:type="spellEnd"/>
            <w:r w:rsidRPr="004F4F25">
              <w:rPr>
                <w:rtl/>
              </w:rPr>
              <w:t xml:space="preserve">, כאמור בסעיף קטן (ד), בתוך 90 ימים ממועד הודעת רשות המיסים, לא יאשר בית המשפט </w:t>
            </w:r>
            <w:r w:rsidRPr="004F4F25">
              <w:rPr>
                <w:rFonts w:hint="eastAsia"/>
                <w:rtl/>
              </w:rPr>
              <w:t>לעניינים</w:t>
            </w:r>
            <w:r w:rsidRPr="004F4F25">
              <w:rPr>
                <w:rtl/>
              </w:rPr>
              <w:t xml:space="preserve"> </w:t>
            </w:r>
            <w:proofErr w:type="spellStart"/>
            <w:r w:rsidRPr="004F4F25">
              <w:rPr>
                <w:rFonts w:hint="eastAsia"/>
                <w:rtl/>
              </w:rPr>
              <w:t>מינהליים</w:t>
            </w:r>
            <w:proofErr w:type="spellEnd"/>
            <w:r w:rsidRPr="004F4F25">
              <w:rPr>
                <w:rtl/>
              </w:rPr>
              <w:t xml:space="preserve"> </w:t>
            </w:r>
            <w:r w:rsidRPr="004F4F25">
              <w:rPr>
                <w:rFonts w:hint="eastAsia"/>
                <w:rtl/>
              </w:rPr>
              <w:t>את</w:t>
            </w:r>
            <w:r w:rsidRPr="004F4F25">
              <w:rPr>
                <w:rtl/>
              </w:rPr>
              <w:t xml:space="preserve"> </w:t>
            </w:r>
            <w:r w:rsidRPr="004F4F25">
              <w:rPr>
                <w:rFonts w:hint="eastAsia"/>
                <w:rtl/>
              </w:rPr>
              <w:t>התובענה</w:t>
            </w:r>
            <w:r w:rsidRPr="004F4F25">
              <w:rPr>
                <w:rtl/>
              </w:rPr>
              <w:t xml:space="preserve"> </w:t>
            </w:r>
            <w:r w:rsidRPr="004F4F25">
              <w:rPr>
                <w:rFonts w:hint="eastAsia"/>
                <w:rtl/>
              </w:rPr>
              <w:t>הייצוגית</w:t>
            </w:r>
            <w:r w:rsidRPr="004F4F25">
              <w:rPr>
                <w:rtl/>
              </w:rPr>
              <w:t xml:space="preserve"> </w:t>
            </w:r>
            <w:r w:rsidRPr="004F4F25">
              <w:rPr>
                <w:rFonts w:hint="eastAsia"/>
                <w:rtl/>
              </w:rPr>
              <w:t>גם</w:t>
            </w:r>
            <w:r w:rsidRPr="004F4F25">
              <w:rPr>
                <w:rtl/>
              </w:rPr>
              <w:t xml:space="preserve"> </w:t>
            </w:r>
            <w:r w:rsidRPr="004F4F25">
              <w:rPr>
                <w:rFonts w:hint="eastAsia"/>
                <w:rtl/>
              </w:rPr>
              <w:t>נגד</w:t>
            </w:r>
            <w:r w:rsidRPr="004F4F25">
              <w:rPr>
                <w:rtl/>
              </w:rPr>
              <w:t xml:space="preserve"> </w:t>
            </w:r>
            <w:r w:rsidRPr="004F4F25">
              <w:rPr>
                <w:rFonts w:hint="eastAsia"/>
                <w:rtl/>
              </w:rPr>
              <w:t>הנתבע</w:t>
            </w:r>
            <w:r w:rsidRPr="004F4F25">
              <w:rPr>
                <w:rtl/>
              </w:rPr>
              <w:t xml:space="preserve"> </w:t>
            </w:r>
            <w:r w:rsidRPr="004F4F25">
              <w:rPr>
                <w:rFonts w:hint="eastAsia"/>
                <w:rtl/>
              </w:rPr>
              <w:t>ובית</w:t>
            </w:r>
            <w:r w:rsidRPr="004F4F25">
              <w:rPr>
                <w:rtl/>
              </w:rPr>
              <w:t xml:space="preserve"> המשפט </w:t>
            </w:r>
            <w:r w:rsidRPr="004F4F25">
              <w:rPr>
                <w:rFonts w:hint="eastAsia"/>
                <w:rtl/>
              </w:rPr>
              <w:t>לעניינים</w:t>
            </w:r>
            <w:r w:rsidRPr="004F4F25">
              <w:rPr>
                <w:rtl/>
              </w:rPr>
              <w:t xml:space="preserve"> </w:t>
            </w:r>
            <w:proofErr w:type="spellStart"/>
            <w:r w:rsidRPr="004F4F25">
              <w:rPr>
                <w:rFonts w:hint="eastAsia"/>
                <w:rtl/>
              </w:rPr>
              <w:t>מינהליים</w:t>
            </w:r>
            <w:proofErr w:type="spellEnd"/>
            <w:r w:rsidRPr="004F4F25">
              <w:rPr>
                <w:rtl/>
              </w:rPr>
              <w:t xml:space="preserve"> </w:t>
            </w:r>
            <w:r w:rsidRPr="004F4F25">
              <w:rPr>
                <w:rFonts w:hint="eastAsia"/>
                <w:rtl/>
              </w:rPr>
              <w:t>רשאי</w:t>
            </w:r>
            <w:r w:rsidRPr="004F4F25">
              <w:rPr>
                <w:rtl/>
              </w:rPr>
              <w:t xml:space="preserve"> </w:t>
            </w:r>
            <w:r w:rsidRPr="004F4F25">
              <w:rPr>
                <w:rFonts w:hint="eastAsia"/>
                <w:rtl/>
              </w:rPr>
              <w:t>להאריך</w:t>
            </w:r>
            <w:r w:rsidRPr="004F4F25">
              <w:rPr>
                <w:rtl/>
              </w:rPr>
              <w:t xml:space="preserve"> </w:t>
            </w:r>
            <w:r w:rsidRPr="004F4F25">
              <w:rPr>
                <w:rFonts w:hint="eastAsia"/>
                <w:rtl/>
              </w:rPr>
              <w:t>תקופה</w:t>
            </w:r>
            <w:r w:rsidRPr="004F4F25">
              <w:rPr>
                <w:rtl/>
              </w:rPr>
              <w:t xml:space="preserve"> </w:t>
            </w:r>
            <w:r w:rsidRPr="004F4F25">
              <w:rPr>
                <w:rFonts w:hint="eastAsia"/>
                <w:rtl/>
              </w:rPr>
              <w:t>זו</w:t>
            </w:r>
            <w:r w:rsidRPr="004F4F25">
              <w:rPr>
                <w:rtl/>
              </w:rPr>
              <w:t xml:space="preserve"> </w:t>
            </w:r>
            <w:r w:rsidRPr="004F4F25">
              <w:rPr>
                <w:rFonts w:hint="eastAsia"/>
                <w:rtl/>
              </w:rPr>
              <w:t>מטעמים</w:t>
            </w:r>
            <w:r w:rsidRPr="004F4F25">
              <w:rPr>
                <w:rtl/>
              </w:rPr>
              <w:t xml:space="preserve"> </w:t>
            </w:r>
            <w:r w:rsidRPr="004F4F25">
              <w:rPr>
                <w:rFonts w:hint="eastAsia"/>
                <w:rtl/>
              </w:rPr>
              <w:t>שיירשמו</w:t>
            </w:r>
            <w:r w:rsidRPr="004F4F25">
              <w:rPr>
                <w:rtl/>
              </w:rPr>
              <w:t xml:space="preserve"> (בסעיף זה- מועד החדילה).</w:t>
            </w:r>
          </w:p>
        </w:tc>
      </w:tr>
      <w:tr w:rsidR="004F4F25" w14:paraId="34D64D85" w14:textId="77777777">
        <w:trPr>
          <w:cantSplit/>
          <w:trHeight w:val="60"/>
        </w:trPr>
        <w:tc>
          <w:tcPr>
            <w:tcW w:w="1871" w:type="dxa"/>
          </w:tcPr>
          <w:p w14:paraId="56F319D5" w14:textId="77777777" w:rsidR="004F4F25" w:rsidRDefault="004F4F25">
            <w:pPr>
              <w:pStyle w:val="TableSideHeading"/>
            </w:pPr>
          </w:p>
        </w:tc>
        <w:tc>
          <w:tcPr>
            <w:tcW w:w="624" w:type="dxa"/>
          </w:tcPr>
          <w:p w14:paraId="4732D546" w14:textId="77777777" w:rsidR="004F4F25" w:rsidRDefault="004F4F25" w:rsidP="004F4F25">
            <w:pPr>
              <w:pStyle w:val="TableText"/>
            </w:pPr>
          </w:p>
        </w:tc>
        <w:tc>
          <w:tcPr>
            <w:tcW w:w="624" w:type="dxa"/>
          </w:tcPr>
          <w:p w14:paraId="042CB08E" w14:textId="77777777" w:rsidR="004F4F25" w:rsidRDefault="004F4F25">
            <w:pPr>
              <w:pStyle w:val="TableText"/>
            </w:pPr>
          </w:p>
        </w:tc>
        <w:tc>
          <w:tcPr>
            <w:tcW w:w="624" w:type="dxa"/>
          </w:tcPr>
          <w:p w14:paraId="417DEE0F" w14:textId="77777777" w:rsidR="004F4F25" w:rsidRDefault="004F4F25">
            <w:pPr>
              <w:pStyle w:val="TableText"/>
            </w:pPr>
          </w:p>
        </w:tc>
        <w:tc>
          <w:tcPr>
            <w:tcW w:w="624" w:type="dxa"/>
          </w:tcPr>
          <w:p w14:paraId="17229150" w14:textId="77777777" w:rsidR="004F4F25" w:rsidRDefault="004F4F25">
            <w:pPr>
              <w:pStyle w:val="TableText"/>
            </w:pPr>
          </w:p>
        </w:tc>
        <w:tc>
          <w:tcPr>
            <w:tcW w:w="624" w:type="dxa"/>
          </w:tcPr>
          <w:p w14:paraId="242D7811" w14:textId="77777777" w:rsidR="004F4F25" w:rsidRDefault="004F4F25">
            <w:pPr>
              <w:pStyle w:val="TableText"/>
            </w:pPr>
          </w:p>
        </w:tc>
        <w:tc>
          <w:tcPr>
            <w:tcW w:w="4650" w:type="dxa"/>
            <w:gridSpan w:val="2"/>
          </w:tcPr>
          <w:p w14:paraId="7F63DB05" w14:textId="5587D488" w:rsidR="004F4F25" w:rsidRPr="004F4F25" w:rsidRDefault="004F4F25" w:rsidP="00C57EB2">
            <w:pPr>
              <w:pStyle w:val="TableBlock"/>
              <w:numPr>
                <w:ilvl w:val="0"/>
                <w:numId w:val="17"/>
              </w:numPr>
              <w:tabs>
                <w:tab w:val="left" w:pos="624"/>
              </w:tabs>
              <w:rPr>
                <w:rtl/>
              </w:rPr>
            </w:pPr>
            <w:r w:rsidRPr="004F4F25">
              <w:rPr>
                <w:rFonts w:hint="eastAsia"/>
                <w:rtl/>
              </w:rPr>
              <w:t>הצטרפה</w:t>
            </w:r>
            <w:r w:rsidRPr="004F4F25">
              <w:rPr>
                <w:rtl/>
              </w:rPr>
              <w:t xml:space="preserve"> רשות </w:t>
            </w:r>
            <w:proofErr w:type="spellStart"/>
            <w:r w:rsidRPr="004F4F25">
              <w:rPr>
                <w:rtl/>
              </w:rPr>
              <w:t>המסים</w:t>
            </w:r>
            <w:proofErr w:type="spellEnd"/>
            <w:r w:rsidRPr="004F4F25">
              <w:rPr>
                <w:rtl/>
              </w:rPr>
              <w:t xml:space="preserve"> כצד להליך, כאמור בסעיף קטן (ב) והנתבע לא חדל מלגבות במועד החדילה, יחולו הוראות סעיף </w:t>
            </w:r>
            <w:r w:rsidRPr="004F4F25">
              <w:rPr>
                <w:rFonts w:hint="cs"/>
                <w:rtl/>
              </w:rPr>
              <w:t>21</w:t>
            </w:r>
            <w:r w:rsidRPr="004F4F25">
              <w:rPr>
                <w:rtl/>
              </w:rPr>
              <w:t xml:space="preserve"> על הנתבע, בשינויים </w:t>
            </w:r>
            <w:proofErr w:type="spellStart"/>
            <w:r w:rsidRPr="004F4F25">
              <w:rPr>
                <w:rtl/>
              </w:rPr>
              <w:t>המחו</w:t>
            </w:r>
            <w:r w:rsidRPr="004F4F25">
              <w:rPr>
                <w:rFonts w:hint="eastAsia"/>
                <w:rtl/>
              </w:rPr>
              <w:t>י</w:t>
            </w:r>
            <w:r w:rsidRPr="004F4F25">
              <w:rPr>
                <w:rtl/>
              </w:rPr>
              <w:t>יבים</w:t>
            </w:r>
            <w:proofErr w:type="spellEnd"/>
            <w:r w:rsidRPr="004F4F25">
              <w:rPr>
                <w:rtl/>
              </w:rPr>
              <w:t>.";</w:t>
            </w:r>
          </w:p>
        </w:tc>
      </w:tr>
      <w:tr w:rsidR="009F23EE" w14:paraId="00DE34B7" w14:textId="77777777" w:rsidTr="002D43E0">
        <w:trPr>
          <w:cantSplit/>
          <w:trHeight w:val="60"/>
        </w:trPr>
        <w:tc>
          <w:tcPr>
            <w:tcW w:w="1871" w:type="dxa"/>
          </w:tcPr>
          <w:p w14:paraId="7E0EA281" w14:textId="77777777" w:rsidR="009F23EE" w:rsidRPr="009B052A" w:rsidRDefault="009F23EE" w:rsidP="009B052A">
            <w:pPr>
              <w:pStyle w:val="TableSideHeading"/>
              <w:ind w:left="408"/>
              <w:rPr>
                <w:sz w:val="14"/>
                <w:szCs w:val="20"/>
                <w:highlight w:val="cyan"/>
                <w:rtl/>
              </w:rPr>
            </w:pPr>
          </w:p>
        </w:tc>
        <w:tc>
          <w:tcPr>
            <w:tcW w:w="624" w:type="dxa"/>
          </w:tcPr>
          <w:p w14:paraId="127D2E18" w14:textId="77777777" w:rsidR="009F23EE" w:rsidRDefault="009F23EE" w:rsidP="009F23EE">
            <w:pPr>
              <w:pStyle w:val="TableText"/>
            </w:pPr>
          </w:p>
        </w:tc>
        <w:tc>
          <w:tcPr>
            <w:tcW w:w="1872" w:type="dxa"/>
            <w:gridSpan w:val="3"/>
          </w:tcPr>
          <w:p w14:paraId="48143014" w14:textId="64358034" w:rsidR="009F23EE" w:rsidRDefault="009F23EE">
            <w:pPr>
              <w:pStyle w:val="TableText"/>
            </w:pPr>
            <w:r>
              <w:rPr>
                <w:rFonts w:hint="cs"/>
                <w:rtl/>
              </w:rPr>
              <w:t xml:space="preserve">בקשה לאישור בתביעה בגין הפרת חובת אבטחת מידע נגד גוף ציבורי </w:t>
            </w:r>
            <w:r>
              <w:rPr>
                <w:rtl/>
              </w:rPr>
              <w:t>–</w:t>
            </w:r>
            <w:r>
              <w:rPr>
                <w:rFonts w:hint="cs"/>
                <w:rtl/>
              </w:rPr>
              <w:t xml:space="preserve"> הוראות מיוחדות</w:t>
            </w:r>
          </w:p>
        </w:tc>
        <w:tc>
          <w:tcPr>
            <w:tcW w:w="624" w:type="dxa"/>
          </w:tcPr>
          <w:p w14:paraId="4985432F" w14:textId="7D03EB73" w:rsidR="009F23EE" w:rsidRDefault="009F23EE">
            <w:pPr>
              <w:pStyle w:val="TableText"/>
            </w:pPr>
            <w:r>
              <w:rPr>
                <w:rFonts w:hint="cs"/>
                <w:rtl/>
              </w:rPr>
              <w:t>9ג</w:t>
            </w:r>
            <w:r w:rsidR="002A6DA4">
              <w:rPr>
                <w:rFonts w:hint="cs"/>
                <w:rtl/>
              </w:rPr>
              <w:t>.</w:t>
            </w:r>
          </w:p>
        </w:tc>
        <w:tc>
          <w:tcPr>
            <w:tcW w:w="4650" w:type="dxa"/>
            <w:gridSpan w:val="2"/>
          </w:tcPr>
          <w:p w14:paraId="186F4CB3" w14:textId="22CFC0D3" w:rsidR="009F23EE" w:rsidRDefault="002A6DA4" w:rsidP="00C57EB2">
            <w:pPr>
              <w:pStyle w:val="TableBlock"/>
              <w:numPr>
                <w:ilvl w:val="0"/>
                <w:numId w:val="31"/>
              </w:numPr>
              <w:tabs>
                <w:tab w:val="left" w:pos="624"/>
              </w:tabs>
              <w:rPr>
                <w:rtl/>
              </w:rPr>
            </w:pPr>
            <w:r w:rsidRPr="002A6DA4">
              <w:rPr>
                <w:rtl/>
              </w:rPr>
              <w:t xml:space="preserve">הוגשה כנגד גוף ציבורי כהגדרתו בסעיף 23 לחוק הגנת </w:t>
            </w:r>
            <w:r w:rsidRPr="00406DAD">
              <w:rPr>
                <w:rtl/>
              </w:rPr>
              <w:t>הפרטיות בקשה לאישור בתביעה בעילה של הפרת הוראה מהוראות תקנות הגנת הפרטיות (אבטחת מידע)</w:t>
            </w:r>
            <w:r w:rsidRPr="00406DAD">
              <w:rPr>
                <w:rFonts w:hint="cs"/>
                <w:rtl/>
              </w:rPr>
              <w:t>,</w:t>
            </w:r>
            <w:r w:rsidRPr="00406DAD">
              <w:rPr>
                <w:rtl/>
              </w:rPr>
              <w:t xml:space="preserve"> כמפורט בפרט </w:t>
            </w:r>
            <w:r w:rsidR="00201838" w:rsidRPr="00406DAD">
              <w:rPr>
                <w:rFonts w:hint="cs"/>
                <w:rtl/>
              </w:rPr>
              <w:t>18</w:t>
            </w:r>
            <w:r w:rsidRPr="00406DAD">
              <w:rPr>
                <w:rFonts w:hint="cs"/>
                <w:rtl/>
              </w:rPr>
              <w:t xml:space="preserve"> ב</w:t>
            </w:r>
            <w:r w:rsidRPr="00406DAD">
              <w:rPr>
                <w:rtl/>
              </w:rPr>
              <w:t xml:space="preserve">תוספת </w:t>
            </w:r>
            <w:proofErr w:type="spellStart"/>
            <w:r w:rsidRPr="00406DAD">
              <w:rPr>
                <w:rtl/>
              </w:rPr>
              <w:t>השניה</w:t>
            </w:r>
            <w:proofErr w:type="spellEnd"/>
            <w:r w:rsidRPr="00406DAD">
              <w:rPr>
                <w:rtl/>
              </w:rPr>
              <w:t xml:space="preserve"> (בחוק זה – תביעה בעילת אבטחת</w:t>
            </w:r>
            <w:r w:rsidRPr="002A6DA4">
              <w:rPr>
                <w:rtl/>
              </w:rPr>
              <w:t xml:space="preserve"> מידע נגד גוף ציבורי), לא ידון בה בית המשפט אלא לאחר שחלפה תקופה של 120 ימים מהמועד שבו </w:t>
            </w:r>
            <w:r w:rsidR="000C5ED7">
              <w:rPr>
                <w:rFonts w:hint="cs"/>
                <w:rtl/>
              </w:rPr>
              <w:t>הומצאה</w:t>
            </w:r>
            <w:r w:rsidRPr="002A6DA4">
              <w:rPr>
                <w:rtl/>
              </w:rPr>
              <w:t xml:space="preserve"> הבקשה לאישור ובית המשפט רשאי להאריך תקופה זו מטעמים שיירשמו (בסעיף זה – המועד הקובע).</w:t>
            </w:r>
          </w:p>
        </w:tc>
      </w:tr>
      <w:tr w:rsidR="00142FCF" w14:paraId="3F405111" w14:textId="77777777" w:rsidTr="002D43E0">
        <w:trPr>
          <w:cantSplit/>
          <w:trHeight w:val="60"/>
        </w:trPr>
        <w:tc>
          <w:tcPr>
            <w:tcW w:w="1871" w:type="dxa"/>
          </w:tcPr>
          <w:p w14:paraId="32DFD2E4" w14:textId="77777777" w:rsidR="00142FCF" w:rsidRPr="009B052A" w:rsidRDefault="00142FCF" w:rsidP="009B052A">
            <w:pPr>
              <w:pStyle w:val="TableSideHeading"/>
              <w:ind w:left="408"/>
              <w:rPr>
                <w:sz w:val="14"/>
                <w:szCs w:val="20"/>
                <w:highlight w:val="cyan"/>
                <w:rtl/>
              </w:rPr>
            </w:pPr>
          </w:p>
        </w:tc>
        <w:tc>
          <w:tcPr>
            <w:tcW w:w="624" w:type="dxa"/>
          </w:tcPr>
          <w:p w14:paraId="4FAA4B5F" w14:textId="77777777" w:rsidR="00142FCF" w:rsidRDefault="00142FCF" w:rsidP="00142FCF">
            <w:pPr>
              <w:pStyle w:val="TableText"/>
            </w:pPr>
          </w:p>
        </w:tc>
        <w:tc>
          <w:tcPr>
            <w:tcW w:w="1872" w:type="dxa"/>
            <w:gridSpan w:val="3"/>
          </w:tcPr>
          <w:p w14:paraId="531A4D7C" w14:textId="77777777" w:rsidR="00142FCF" w:rsidRDefault="00142FCF">
            <w:pPr>
              <w:pStyle w:val="TableText"/>
              <w:rPr>
                <w:rtl/>
              </w:rPr>
            </w:pPr>
          </w:p>
        </w:tc>
        <w:tc>
          <w:tcPr>
            <w:tcW w:w="624" w:type="dxa"/>
          </w:tcPr>
          <w:p w14:paraId="331B5CF3" w14:textId="77777777" w:rsidR="00142FCF" w:rsidRDefault="00142FCF">
            <w:pPr>
              <w:pStyle w:val="TableText"/>
              <w:rPr>
                <w:rtl/>
              </w:rPr>
            </w:pPr>
          </w:p>
        </w:tc>
        <w:tc>
          <w:tcPr>
            <w:tcW w:w="4650" w:type="dxa"/>
            <w:gridSpan w:val="2"/>
          </w:tcPr>
          <w:p w14:paraId="3BC99405" w14:textId="69B82E4A" w:rsidR="00142FCF" w:rsidRPr="002A6DA4" w:rsidRDefault="00142FCF" w:rsidP="00C57EB2">
            <w:pPr>
              <w:pStyle w:val="TableBlock"/>
              <w:numPr>
                <w:ilvl w:val="0"/>
                <w:numId w:val="31"/>
              </w:numPr>
              <w:tabs>
                <w:tab w:val="left" w:pos="624"/>
              </w:tabs>
              <w:rPr>
                <w:rtl/>
              </w:rPr>
            </w:pPr>
            <w:r w:rsidRPr="00142FCF">
              <w:rPr>
                <w:rtl/>
              </w:rPr>
              <w:t xml:space="preserve">בית המשפט לא יאשר תובענה ייצוגית בתביעה בעילת אבטחת מידע נגד גוף ציבורי, אם </w:t>
            </w:r>
            <w:r w:rsidR="00386A08">
              <w:rPr>
                <w:rFonts w:hint="cs"/>
                <w:rtl/>
              </w:rPr>
              <w:t>תוקנה ההפרה</w:t>
            </w:r>
            <w:r w:rsidRPr="00142FCF">
              <w:rPr>
                <w:rtl/>
              </w:rPr>
              <w:t xml:space="preserve"> עליה נסובה התביעה עד למועד הקובע</w:t>
            </w:r>
            <w:r>
              <w:rPr>
                <w:rFonts w:hint="cs"/>
                <w:rtl/>
              </w:rPr>
              <w:t>.</w:t>
            </w:r>
            <w:r w:rsidR="009F5227">
              <w:rPr>
                <w:rFonts w:hint="cs"/>
                <w:rtl/>
              </w:rPr>
              <w:t xml:space="preserve"> </w:t>
            </w:r>
          </w:p>
        </w:tc>
      </w:tr>
      <w:tr w:rsidR="00142FCF" w14:paraId="21FE8D2A" w14:textId="77777777" w:rsidTr="002D43E0">
        <w:trPr>
          <w:cantSplit/>
          <w:trHeight w:val="60"/>
        </w:trPr>
        <w:tc>
          <w:tcPr>
            <w:tcW w:w="1871" w:type="dxa"/>
          </w:tcPr>
          <w:p w14:paraId="7D9C3B04" w14:textId="77777777" w:rsidR="00142FCF" w:rsidRPr="009B052A" w:rsidRDefault="00142FCF" w:rsidP="009B052A">
            <w:pPr>
              <w:pStyle w:val="TableSideHeading"/>
              <w:ind w:left="408"/>
              <w:rPr>
                <w:sz w:val="14"/>
                <w:szCs w:val="20"/>
                <w:highlight w:val="cyan"/>
                <w:rtl/>
              </w:rPr>
            </w:pPr>
          </w:p>
        </w:tc>
        <w:tc>
          <w:tcPr>
            <w:tcW w:w="624" w:type="dxa"/>
          </w:tcPr>
          <w:p w14:paraId="6D90FBEA" w14:textId="77777777" w:rsidR="00142FCF" w:rsidRDefault="00142FCF" w:rsidP="00142FCF">
            <w:pPr>
              <w:pStyle w:val="TableText"/>
            </w:pPr>
          </w:p>
        </w:tc>
        <w:tc>
          <w:tcPr>
            <w:tcW w:w="1872" w:type="dxa"/>
            <w:gridSpan w:val="3"/>
          </w:tcPr>
          <w:p w14:paraId="6E1D3CC3" w14:textId="77777777" w:rsidR="00142FCF" w:rsidRDefault="00142FCF">
            <w:pPr>
              <w:pStyle w:val="TableText"/>
              <w:rPr>
                <w:rtl/>
              </w:rPr>
            </w:pPr>
          </w:p>
        </w:tc>
        <w:tc>
          <w:tcPr>
            <w:tcW w:w="624" w:type="dxa"/>
          </w:tcPr>
          <w:p w14:paraId="72B0EF4F" w14:textId="77777777" w:rsidR="00142FCF" w:rsidRDefault="00142FCF">
            <w:pPr>
              <w:pStyle w:val="TableText"/>
              <w:rPr>
                <w:rtl/>
              </w:rPr>
            </w:pPr>
          </w:p>
        </w:tc>
        <w:tc>
          <w:tcPr>
            <w:tcW w:w="4650" w:type="dxa"/>
            <w:gridSpan w:val="2"/>
          </w:tcPr>
          <w:p w14:paraId="08D9AE40" w14:textId="34B2B89F" w:rsidR="00142FCF" w:rsidRPr="00142FCF" w:rsidRDefault="00142FCF" w:rsidP="00C57EB2">
            <w:pPr>
              <w:pStyle w:val="TableBlock"/>
              <w:numPr>
                <w:ilvl w:val="0"/>
                <w:numId w:val="31"/>
              </w:numPr>
              <w:tabs>
                <w:tab w:val="left" w:pos="624"/>
              </w:tabs>
              <w:rPr>
                <w:rtl/>
              </w:rPr>
            </w:pPr>
            <w:r w:rsidRPr="00142FCF">
              <w:rPr>
                <w:rtl/>
              </w:rPr>
              <w:t>החליט בית המשפט כאמור בסעיף קטן (ב), רשאי הוא</w:t>
            </w:r>
            <w:r w:rsidRPr="00EF72F1">
              <w:rPr>
                <w:rFonts w:hint="cs"/>
                <w:rtl/>
              </w:rPr>
              <w:t xml:space="preserve"> לפסוק גמול למבקש ושכר טרחה לבא כוח המייצג בהתחשב בשיקולים כאמור בסעיף</w:t>
            </w:r>
            <w:r>
              <w:rPr>
                <w:rFonts w:hint="cs"/>
                <w:rtl/>
              </w:rPr>
              <w:t xml:space="preserve"> </w:t>
            </w:r>
            <w:r w:rsidRPr="00EF72F1">
              <w:rPr>
                <w:rFonts w:hint="cs"/>
                <w:rtl/>
              </w:rPr>
              <w:t>23(ב)</w:t>
            </w:r>
            <w:r>
              <w:rPr>
                <w:rFonts w:cs="FrankRuehl" w:hint="cs"/>
                <w:rtl/>
              </w:rPr>
              <w:t>.</w:t>
            </w:r>
            <w:r>
              <w:rPr>
                <w:rFonts w:hint="cs"/>
                <w:rtl/>
              </w:rPr>
              <w:t>"</w:t>
            </w:r>
          </w:p>
        </w:tc>
      </w:tr>
      <w:tr w:rsidR="005929F3" w14:paraId="25B678B4" w14:textId="77777777">
        <w:trPr>
          <w:cantSplit/>
          <w:trHeight w:val="60"/>
        </w:trPr>
        <w:tc>
          <w:tcPr>
            <w:tcW w:w="1871" w:type="dxa"/>
          </w:tcPr>
          <w:p w14:paraId="7CC5F738" w14:textId="104F293F" w:rsidR="005929F3" w:rsidRDefault="005929F3" w:rsidP="007E751D">
            <w:pPr>
              <w:pStyle w:val="TableSideHeading"/>
              <w:keepLines w:val="0"/>
            </w:pPr>
            <w:r>
              <w:rPr>
                <w:rFonts w:hint="cs"/>
                <w:rtl/>
              </w:rPr>
              <w:t>תיקון סעיף 16</w:t>
            </w:r>
          </w:p>
        </w:tc>
        <w:tc>
          <w:tcPr>
            <w:tcW w:w="624" w:type="dxa"/>
          </w:tcPr>
          <w:p w14:paraId="51AA25B0" w14:textId="77777777" w:rsidR="005929F3" w:rsidRDefault="005929F3" w:rsidP="00461E2C">
            <w:pPr>
              <w:pStyle w:val="TableText"/>
              <w:keepLines w:val="0"/>
              <w:numPr>
                <w:ilvl w:val="0"/>
                <w:numId w:val="2"/>
              </w:numPr>
            </w:pPr>
          </w:p>
        </w:tc>
        <w:tc>
          <w:tcPr>
            <w:tcW w:w="7146" w:type="dxa"/>
            <w:gridSpan w:val="6"/>
          </w:tcPr>
          <w:p w14:paraId="0774C501" w14:textId="0C8784F6" w:rsidR="005929F3" w:rsidRPr="00C34DE2" w:rsidRDefault="005929F3" w:rsidP="005929F3">
            <w:pPr>
              <w:pStyle w:val="TableBlock"/>
              <w:keepLines w:val="0"/>
            </w:pPr>
            <w:r>
              <w:rPr>
                <w:rFonts w:hint="cs"/>
                <w:rtl/>
              </w:rPr>
              <w:t xml:space="preserve">בסעיף 16(א) לחוק העיקרי, תימחק </w:t>
            </w:r>
            <w:proofErr w:type="spellStart"/>
            <w:r>
              <w:rPr>
                <w:rFonts w:hint="cs"/>
                <w:rtl/>
              </w:rPr>
              <w:t>הסיפה</w:t>
            </w:r>
            <w:proofErr w:type="spellEnd"/>
            <w:r>
              <w:rPr>
                <w:rFonts w:hint="cs"/>
                <w:rtl/>
              </w:rPr>
              <w:t xml:space="preserve"> החל במילים ", אלא באישור בית המשפט</w:t>
            </w:r>
            <w:r w:rsidR="00301D60">
              <w:rPr>
                <w:rFonts w:hint="cs"/>
                <w:rtl/>
              </w:rPr>
              <w:t>; בהחלטתו</w:t>
            </w:r>
            <w:r>
              <w:rPr>
                <w:rFonts w:hint="cs"/>
                <w:rtl/>
              </w:rPr>
              <w:t>".</w:t>
            </w:r>
          </w:p>
        </w:tc>
      </w:tr>
      <w:tr w:rsidR="005929F3" w14:paraId="4CC1E90B" w14:textId="77777777">
        <w:trPr>
          <w:cantSplit/>
          <w:trHeight w:val="60"/>
        </w:trPr>
        <w:tc>
          <w:tcPr>
            <w:tcW w:w="1871" w:type="dxa"/>
          </w:tcPr>
          <w:p w14:paraId="5F1516AA" w14:textId="75A18CF7" w:rsidR="005929F3" w:rsidRDefault="005929F3" w:rsidP="007E751D">
            <w:pPr>
              <w:pStyle w:val="TableSideHeading"/>
              <w:keepLines w:val="0"/>
              <w:rPr>
                <w:rtl/>
              </w:rPr>
            </w:pPr>
            <w:r>
              <w:rPr>
                <w:rFonts w:hint="cs"/>
                <w:rtl/>
              </w:rPr>
              <w:t>תיקון סעיף 18</w:t>
            </w:r>
          </w:p>
        </w:tc>
        <w:tc>
          <w:tcPr>
            <w:tcW w:w="624" w:type="dxa"/>
          </w:tcPr>
          <w:p w14:paraId="47136621" w14:textId="2A75B543" w:rsidR="005929F3" w:rsidRDefault="005929F3" w:rsidP="00461E2C">
            <w:pPr>
              <w:pStyle w:val="TableText"/>
              <w:numPr>
                <w:ilvl w:val="0"/>
                <w:numId w:val="2"/>
              </w:numPr>
            </w:pPr>
          </w:p>
        </w:tc>
        <w:tc>
          <w:tcPr>
            <w:tcW w:w="7146" w:type="dxa"/>
            <w:gridSpan w:val="6"/>
          </w:tcPr>
          <w:p w14:paraId="4E41C8D1" w14:textId="5B8A6FE9" w:rsidR="005929F3" w:rsidRDefault="007E0852" w:rsidP="005929F3">
            <w:pPr>
              <w:pStyle w:val="TableBlock"/>
              <w:keepLines w:val="0"/>
              <w:rPr>
                <w:rtl/>
              </w:rPr>
            </w:pPr>
            <w:r>
              <w:rPr>
                <w:rFonts w:hint="cs"/>
                <w:rtl/>
              </w:rPr>
              <w:t xml:space="preserve">בסעיף 18 לחוק העיקרי - </w:t>
            </w:r>
          </w:p>
        </w:tc>
      </w:tr>
      <w:tr w:rsidR="007E0852" w14:paraId="250FD1E5" w14:textId="77777777">
        <w:trPr>
          <w:cantSplit/>
          <w:trHeight w:val="60"/>
        </w:trPr>
        <w:tc>
          <w:tcPr>
            <w:tcW w:w="1871" w:type="dxa"/>
          </w:tcPr>
          <w:p w14:paraId="68F41FA6" w14:textId="21528651" w:rsidR="007E0852" w:rsidRDefault="007E0852" w:rsidP="007206C1">
            <w:pPr>
              <w:pStyle w:val="TableSideHeading"/>
              <w:ind w:left="408"/>
            </w:pPr>
          </w:p>
        </w:tc>
        <w:tc>
          <w:tcPr>
            <w:tcW w:w="624" w:type="dxa"/>
          </w:tcPr>
          <w:p w14:paraId="786F139E" w14:textId="77777777" w:rsidR="007E0852" w:rsidRDefault="007E0852">
            <w:pPr>
              <w:pStyle w:val="TableText"/>
            </w:pPr>
          </w:p>
        </w:tc>
        <w:tc>
          <w:tcPr>
            <w:tcW w:w="624" w:type="dxa"/>
          </w:tcPr>
          <w:p w14:paraId="58509F50" w14:textId="77777777" w:rsidR="007E0852" w:rsidRDefault="007E0852">
            <w:pPr>
              <w:pStyle w:val="TableText"/>
            </w:pPr>
          </w:p>
        </w:tc>
        <w:tc>
          <w:tcPr>
            <w:tcW w:w="6522" w:type="dxa"/>
            <w:gridSpan w:val="5"/>
          </w:tcPr>
          <w:p w14:paraId="27FCB746" w14:textId="7A447739" w:rsidR="007E0852" w:rsidRDefault="00D47AA6" w:rsidP="00461E2C">
            <w:pPr>
              <w:pStyle w:val="TableBlock"/>
              <w:numPr>
                <w:ilvl w:val="0"/>
                <w:numId w:val="12"/>
              </w:numPr>
              <w:tabs>
                <w:tab w:val="left" w:pos="624"/>
              </w:tabs>
            </w:pPr>
            <w:r>
              <w:rPr>
                <w:rFonts w:hint="cs"/>
                <w:rtl/>
              </w:rPr>
              <w:t xml:space="preserve">אחרי סעיף קטן </w:t>
            </w:r>
            <w:r w:rsidR="00793A6E">
              <w:rPr>
                <w:rFonts w:hint="cs"/>
                <w:rtl/>
              </w:rPr>
              <w:t>(</w:t>
            </w:r>
            <w:r>
              <w:rPr>
                <w:rFonts w:hint="cs"/>
                <w:rtl/>
              </w:rPr>
              <w:t>ב</w:t>
            </w:r>
            <w:r w:rsidR="00793A6E">
              <w:rPr>
                <w:rFonts w:hint="cs"/>
                <w:rtl/>
              </w:rPr>
              <w:t>)</w:t>
            </w:r>
            <w:r>
              <w:rPr>
                <w:rFonts w:hint="cs"/>
                <w:rtl/>
              </w:rPr>
              <w:t xml:space="preserve">, יבוא: </w:t>
            </w:r>
          </w:p>
        </w:tc>
      </w:tr>
      <w:tr w:rsidR="00D47AA6" w14:paraId="313EEFE2" w14:textId="77777777">
        <w:trPr>
          <w:cantSplit/>
          <w:trHeight w:val="60"/>
        </w:trPr>
        <w:tc>
          <w:tcPr>
            <w:tcW w:w="1871" w:type="dxa"/>
          </w:tcPr>
          <w:p w14:paraId="7A4D689E" w14:textId="77777777" w:rsidR="00D47AA6" w:rsidRDefault="00D47AA6">
            <w:pPr>
              <w:pStyle w:val="TableSideHeading"/>
            </w:pPr>
          </w:p>
        </w:tc>
        <w:tc>
          <w:tcPr>
            <w:tcW w:w="624" w:type="dxa"/>
          </w:tcPr>
          <w:p w14:paraId="06B35FBA" w14:textId="77777777" w:rsidR="00D47AA6" w:rsidRDefault="00D47AA6">
            <w:pPr>
              <w:pStyle w:val="TableText"/>
            </w:pPr>
          </w:p>
        </w:tc>
        <w:tc>
          <w:tcPr>
            <w:tcW w:w="624" w:type="dxa"/>
          </w:tcPr>
          <w:p w14:paraId="2A6C0C75" w14:textId="77777777" w:rsidR="00D47AA6" w:rsidRDefault="00D47AA6">
            <w:pPr>
              <w:pStyle w:val="TableText"/>
            </w:pPr>
          </w:p>
        </w:tc>
        <w:tc>
          <w:tcPr>
            <w:tcW w:w="624" w:type="dxa"/>
          </w:tcPr>
          <w:p w14:paraId="0E26AC97" w14:textId="77777777" w:rsidR="00D47AA6" w:rsidRDefault="00D47AA6">
            <w:pPr>
              <w:pStyle w:val="TableText"/>
            </w:pPr>
          </w:p>
        </w:tc>
        <w:tc>
          <w:tcPr>
            <w:tcW w:w="5898" w:type="dxa"/>
            <w:gridSpan w:val="4"/>
          </w:tcPr>
          <w:p w14:paraId="7CB7C64A" w14:textId="2CFD95B8" w:rsidR="00D47AA6" w:rsidRDefault="00D47AA6">
            <w:pPr>
              <w:pStyle w:val="TableBlock"/>
            </w:pPr>
            <w:r>
              <w:rPr>
                <w:rFonts w:hint="cs"/>
                <w:rtl/>
              </w:rPr>
              <w:t>"(ב1) גובש הסדר פשרה במסגרת הליך גישור שבו נחש</w:t>
            </w:r>
            <w:r w:rsidR="00AE4D04">
              <w:rPr>
                <w:rFonts w:hint="cs"/>
                <w:rtl/>
              </w:rPr>
              <w:t>פו</w:t>
            </w:r>
            <w:r>
              <w:rPr>
                <w:rFonts w:hint="cs"/>
                <w:rtl/>
              </w:rPr>
              <w:t xml:space="preserve"> המגשר והצדדים</w:t>
            </w:r>
            <w:r w:rsidR="00AE4D04">
              <w:rPr>
                <w:rFonts w:hint="cs"/>
                <w:rtl/>
              </w:rPr>
              <w:t xml:space="preserve"> למידע עובדתי ובכלל זה</w:t>
            </w:r>
            <w:r>
              <w:rPr>
                <w:rFonts w:hint="cs"/>
                <w:rtl/>
              </w:rPr>
              <w:t xml:space="preserve"> לנתונים </w:t>
            </w:r>
            <w:r w:rsidR="00AE4D04">
              <w:rPr>
                <w:rFonts w:hint="cs"/>
                <w:rtl/>
              </w:rPr>
              <w:t xml:space="preserve">כמותיים </w:t>
            </w:r>
            <w:r>
              <w:rPr>
                <w:rFonts w:hint="cs"/>
                <w:rtl/>
              </w:rPr>
              <w:t>אשר שימשו בסיס להסדר הפשרה, יצרפו הצדדים מכתב מן המגשר, שיכלול התייחסות ל</w:t>
            </w:r>
            <w:r w:rsidR="00AE4D04">
              <w:rPr>
                <w:rFonts w:hint="cs"/>
                <w:rtl/>
              </w:rPr>
              <w:t>מידע</w:t>
            </w:r>
            <w:r>
              <w:rPr>
                <w:rFonts w:hint="cs"/>
                <w:rtl/>
              </w:rPr>
              <w:t xml:space="preserve"> </w:t>
            </w:r>
            <w:r w:rsidR="00AE4D04">
              <w:rPr>
                <w:rFonts w:hint="cs"/>
                <w:rtl/>
              </w:rPr>
              <w:t>זה</w:t>
            </w:r>
            <w:r>
              <w:rPr>
                <w:rFonts w:hint="cs"/>
                <w:rtl/>
              </w:rPr>
              <w:t xml:space="preserve">". </w:t>
            </w:r>
          </w:p>
        </w:tc>
      </w:tr>
      <w:tr w:rsidR="00D47AA6" w14:paraId="0143071D" w14:textId="77777777">
        <w:trPr>
          <w:cantSplit/>
          <w:trHeight w:val="60"/>
        </w:trPr>
        <w:tc>
          <w:tcPr>
            <w:tcW w:w="1871" w:type="dxa"/>
          </w:tcPr>
          <w:p w14:paraId="670328E1" w14:textId="3875FC08" w:rsidR="00D47AA6" w:rsidRDefault="00D47AA6" w:rsidP="007206C1">
            <w:pPr>
              <w:pStyle w:val="TableSideHeading"/>
              <w:ind w:left="408"/>
              <w:rPr>
                <w:sz w:val="14"/>
                <w:szCs w:val="20"/>
                <w:highlight w:val="cyan"/>
              </w:rPr>
            </w:pPr>
          </w:p>
          <w:p w14:paraId="12C119CB" w14:textId="5256CCFF" w:rsidR="00793A6E" w:rsidRPr="00EC5FBD" w:rsidRDefault="00793A6E" w:rsidP="007206C1">
            <w:pPr>
              <w:pStyle w:val="TableSideHeading"/>
              <w:ind w:left="408"/>
              <w:rPr>
                <w:sz w:val="14"/>
                <w:szCs w:val="20"/>
                <w:highlight w:val="cyan"/>
                <w:rtl/>
              </w:rPr>
            </w:pPr>
          </w:p>
        </w:tc>
        <w:tc>
          <w:tcPr>
            <w:tcW w:w="624" w:type="dxa"/>
          </w:tcPr>
          <w:p w14:paraId="1507398B" w14:textId="77777777" w:rsidR="00D47AA6" w:rsidRDefault="00D47AA6" w:rsidP="00D47AA6">
            <w:pPr>
              <w:pStyle w:val="TableText"/>
            </w:pPr>
          </w:p>
        </w:tc>
        <w:tc>
          <w:tcPr>
            <w:tcW w:w="624" w:type="dxa"/>
          </w:tcPr>
          <w:p w14:paraId="51375732" w14:textId="77777777" w:rsidR="00D47AA6" w:rsidRDefault="00D47AA6">
            <w:pPr>
              <w:pStyle w:val="TableText"/>
            </w:pPr>
          </w:p>
        </w:tc>
        <w:tc>
          <w:tcPr>
            <w:tcW w:w="6522" w:type="dxa"/>
            <w:gridSpan w:val="5"/>
          </w:tcPr>
          <w:p w14:paraId="531900DD" w14:textId="0D180429" w:rsidR="00D47AA6" w:rsidRDefault="00D47AA6" w:rsidP="00461E2C">
            <w:pPr>
              <w:pStyle w:val="TableBlock"/>
              <w:numPr>
                <w:ilvl w:val="0"/>
                <w:numId w:val="12"/>
              </w:numPr>
              <w:tabs>
                <w:tab w:val="left" w:pos="624"/>
              </w:tabs>
              <w:rPr>
                <w:rtl/>
              </w:rPr>
            </w:pPr>
            <w:r>
              <w:rPr>
                <w:rFonts w:hint="cs"/>
                <w:rtl/>
              </w:rPr>
              <w:t xml:space="preserve">בסעיף קטן </w:t>
            </w:r>
            <w:r w:rsidR="00793A6E">
              <w:rPr>
                <w:rFonts w:hint="cs"/>
                <w:rtl/>
              </w:rPr>
              <w:t>(</w:t>
            </w:r>
            <w:r>
              <w:rPr>
                <w:rFonts w:hint="cs"/>
                <w:rtl/>
              </w:rPr>
              <w:t>ד</w:t>
            </w:r>
            <w:r w:rsidR="00793A6E">
              <w:rPr>
                <w:rFonts w:hint="cs"/>
                <w:rtl/>
              </w:rPr>
              <w:t>)</w:t>
            </w:r>
            <w:r>
              <w:rPr>
                <w:rFonts w:hint="cs"/>
                <w:rtl/>
              </w:rPr>
              <w:t xml:space="preserve">, </w:t>
            </w:r>
            <w:r w:rsidR="00793A6E">
              <w:rPr>
                <w:rFonts w:hint="cs"/>
                <w:rtl/>
              </w:rPr>
              <w:t xml:space="preserve">במקום </w:t>
            </w:r>
            <w:proofErr w:type="spellStart"/>
            <w:r w:rsidR="00793A6E">
              <w:rPr>
                <w:rFonts w:hint="cs"/>
                <w:rtl/>
              </w:rPr>
              <w:t>הסיפ</w:t>
            </w:r>
            <w:r w:rsidR="00E422A8">
              <w:rPr>
                <w:rFonts w:hint="cs"/>
                <w:rtl/>
              </w:rPr>
              <w:t>ה</w:t>
            </w:r>
            <w:proofErr w:type="spellEnd"/>
            <w:r w:rsidR="00793A6E">
              <w:rPr>
                <w:rFonts w:hint="cs"/>
                <w:rtl/>
              </w:rPr>
              <w:t xml:space="preserve"> החל במילים "היועץ המשפטי לממשלה" יבוא "היועץ המשפטי לממשלה, או מי שהסמיכו לכך, רשאים להגיש לבית המשפט, בכתב, בתוך 60 ימים מיום פרסום ההודעה </w:t>
            </w:r>
            <w:r w:rsidRPr="00670E8A">
              <w:rPr>
                <w:rtl/>
              </w:rPr>
              <w:t>כאמור בסעיף קטן (ג)</w:t>
            </w:r>
            <w:r w:rsidR="00793A6E">
              <w:rPr>
                <w:rFonts w:hint="cs"/>
                <w:rtl/>
              </w:rPr>
              <w:t xml:space="preserve">, </w:t>
            </w:r>
            <w:r w:rsidRPr="00670E8A">
              <w:rPr>
                <w:rtl/>
              </w:rPr>
              <w:t xml:space="preserve">מיום </w:t>
            </w:r>
            <w:r w:rsidRPr="00670E8A">
              <w:rPr>
                <w:rFonts w:hint="cs"/>
                <w:rtl/>
              </w:rPr>
              <w:t>המצאת</w:t>
            </w:r>
            <w:r w:rsidRPr="00670E8A">
              <w:rPr>
                <w:rtl/>
              </w:rPr>
              <w:t xml:space="preserve"> ההודעה ליועץ המשפטי לממשלה</w:t>
            </w:r>
            <w:r w:rsidR="00793A6E">
              <w:rPr>
                <w:rFonts w:hint="cs"/>
                <w:rtl/>
              </w:rPr>
              <w:t xml:space="preserve"> או בתוך מועד מאוחר יותר שיקבע בית המשפט</w:t>
            </w:r>
            <w:r w:rsidRPr="00670E8A">
              <w:rPr>
                <w:rtl/>
              </w:rPr>
              <w:t xml:space="preserve">, </w:t>
            </w:r>
            <w:r w:rsidR="00793A6E">
              <w:rPr>
                <w:rFonts w:hint="cs"/>
                <w:rtl/>
              </w:rPr>
              <w:t>התנגדות מנומקת להסדר הפשרה</w:t>
            </w:r>
            <w:r w:rsidRPr="00670E8A">
              <w:rPr>
                <w:rtl/>
              </w:rPr>
              <w:t>"</w:t>
            </w:r>
            <w:r w:rsidRPr="00670E8A">
              <w:rPr>
                <w:rFonts w:hint="cs"/>
                <w:rtl/>
              </w:rPr>
              <w:t>;</w:t>
            </w:r>
          </w:p>
        </w:tc>
      </w:tr>
      <w:tr w:rsidR="007A2AD4" w14:paraId="44D35DCE" w14:textId="77777777">
        <w:trPr>
          <w:cantSplit/>
          <w:trHeight w:val="60"/>
        </w:trPr>
        <w:tc>
          <w:tcPr>
            <w:tcW w:w="1871" w:type="dxa"/>
          </w:tcPr>
          <w:p w14:paraId="185753C4" w14:textId="77777777" w:rsidR="007A2AD4" w:rsidRPr="001A72E8" w:rsidRDefault="007A2AD4" w:rsidP="001E49D3">
            <w:pPr>
              <w:pStyle w:val="TableSideHeading"/>
              <w:ind w:left="408"/>
              <w:rPr>
                <w:sz w:val="14"/>
                <w:szCs w:val="20"/>
                <w:highlight w:val="cyan"/>
                <w:rtl/>
              </w:rPr>
            </w:pPr>
          </w:p>
        </w:tc>
        <w:tc>
          <w:tcPr>
            <w:tcW w:w="624" w:type="dxa"/>
          </w:tcPr>
          <w:p w14:paraId="6935346F" w14:textId="77777777" w:rsidR="007A2AD4" w:rsidRDefault="007A2AD4" w:rsidP="007A2AD4">
            <w:pPr>
              <w:pStyle w:val="TableText"/>
            </w:pPr>
          </w:p>
        </w:tc>
        <w:tc>
          <w:tcPr>
            <w:tcW w:w="624" w:type="dxa"/>
          </w:tcPr>
          <w:p w14:paraId="392962F0" w14:textId="77777777" w:rsidR="007A2AD4" w:rsidRDefault="007A2AD4">
            <w:pPr>
              <w:pStyle w:val="TableText"/>
            </w:pPr>
          </w:p>
        </w:tc>
        <w:tc>
          <w:tcPr>
            <w:tcW w:w="6522" w:type="dxa"/>
            <w:gridSpan w:val="5"/>
          </w:tcPr>
          <w:p w14:paraId="03C55826" w14:textId="74FC86DD" w:rsidR="007A2AD4" w:rsidRDefault="007A2AD4" w:rsidP="00461E2C">
            <w:pPr>
              <w:pStyle w:val="TableBlock"/>
              <w:numPr>
                <w:ilvl w:val="0"/>
                <w:numId w:val="12"/>
              </w:numPr>
              <w:tabs>
                <w:tab w:val="left" w:pos="624"/>
              </w:tabs>
              <w:rPr>
                <w:rtl/>
              </w:rPr>
            </w:pPr>
            <w:r>
              <w:rPr>
                <w:rFonts w:hint="cs"/>
                <w:rtl/>
              </w:rPr>
              <w:t xml:space="preserve">בסעיף קטן (ז)(2) תימחק </w:t>
            </w:r>
            <w:proofErr w:type="spellStart"/>
            <w:r>
              <w:rPr>
                <w:rFonts w:hint="cs"/>
                <w:rtl/>
              </w:rPr>
              <w:t>הסיפה</w:t>
            </w:r>
            <w:proofErr w:type="spellEnd"/>
            <w:r>
              <w:rPr>
                <w:rFonts w:hint="cs"/>
                <w:rtl/>
              </w:rPr>
              <w:t xml:space="preserve"> החל במילים ", ואולם הצדדים רשאים".</w:t>
            </w:r>
          </w:p>
        </w:tc>
      </w:tr>
      <w:tr w:rsidR="00EF72F1" w14:paraId="574FE017" w14:textId="77777777">
        <w:trPr>
          <w:cantSplit/>
          <w:trHeight w:val="60"/>
        </w:trPr>
        <w:tc>
          <w:tcPr>
            <w:tcW w:w="1871" w:type="dxa"/>
          </w:tcPr>
          <w:p w14:paraId="65F979BD" w14:textId="2DD80225" w:rsidR="00EF72F1" w:rsidRDefault="00EF72F1" w:rsidP="007E751D">
            <w:pPr>
              <w:pStyle w:val="TableSideHeading"/>
              <w:keepLines w:val="0"/>
            </w:pPr>
            <w:r>
              <w:rPr>
                <w:rFonts w:hint="cs"/>
                <w:rtl/>
              </w:rPr>
              <w:t>תיקון סעיף 19</w:t>
            </w:r>
          </w:p>
        </w:tc>
        <w:tc>
          <w:tcPr>
            <w:tcW w:w="624" w:type="dxa"/>
          </w:tcPr>
          <w:p w14:paraId="2EC03FD9" w14:textId="77777777" w:rsidR="00EF72F1" w:rsidRDefault="00EF72F1" w:rsidP="00EF72F1">
            <w:pPr>
              <w:pStyle w:val="TableText"/>
              <w:keepLines w:val="0"/>
              <w:numPr>
                <w:ilvl w:val="0"/>
                <w:numId w:val="2"/>
              </w:numPr>
            </w:pPr>
          </w:p>
        </w:tc>
        <w:tc>
          <w:tcPr>
            <w:tcW w:w="7146" w:type="dxa"/>
            <w:gridSpan w:val="6"/>
          </w:tcPr>
          <w:p w14:paraId="205E28CC" w14:textId="4074E127" w:rsidR="00EF72F1" w:rsidRPr="00C34DE2" w:rsidRDefault="00EF72F1" w:rsidP="008D6274">
            <w:pPr>
              <w:pStyle w:val="TableBlock"/>
              <w:keepLines w:val="0"/>
            </w:pPr>
            <w:r>
              <w:rPr>
                <w:rFonts w:hint="cs"/>
                <w:rtl/>
              </w:rPr>
              <w:t>ב</w:t>
            </w:r>
            <w:r w:rsidR="00341A6B">
              <w:rPr>
                <w:rFonts w:hint="cs"/>
                <w:rtl/>
              </w:rPr>
              <w:t xml:space="preserve">מקום </w:t>
            </w:r>
            <w:r>
              <w:rPr>
                <w:rFonts w:hint="cs"/>
                <w:rtl/>
              </w:rPr>
              <w:t xml:space="preserve">סעיף 19 (ו) </w:t>
            </w:r>
            <w:r w:rsidR="004551A7">
              <w:rPr>
                <w:rFonts w:hint="cs"/>
                <w:rtl/>
              </w:rPr>
              <w:t xml:space="preserve">לחוק </w:t>
            </w:r>
            <w:r w:rsidR="00341A6B">
              <w:rPr>
                <w:rFonts w:hint="cs"/>
                <w:rtl/>
              </w:rPr>
              <w:t>העיקרי יבוא:</w:t>
            </w:r>
          </w:p>
        </w:tc>
      </w:tr>
      <w:tr w:rsidR="00341A6B" w14:paraId="230074C5" w14:textId="77777777">
        <w:trPr>
          <w:cantSplit/>
          <w:trHeight w:val="60"/>
        </w:trPr>
        <w:tc>
          <w:tcPr>
            <w:tcW w:w="1871" w:type="dxa"/>
          </w:tcPr>
          <w:p w14:paraId="6D1B92BB" w14:textId="77777777" w:rsidR="00341A6B" w:rsidRDefault="00341A6B">
            <w:pPr>
              <w:pStyle w:val="TableSideHeading"/>
            </w:pPr>
          </w:p>
        </w:tc>
        <w:tc>
          <w:tcPr>
            <w:tcW w:w="624" w:type="dxa"/>
          </w:tcPr>
          <w:p w14:paraId="55D8FD2E" w14:textId="77777777" w:rsidR="00341A6B" w:rsidRDefault="00341A6B">
            <w:pPr>
              <w:pStyle w:val="TableText"/>
            </w:pPr>
          </w:p>
        </w:tc>
        <w:tc>
          <w:tcPr>
            <w:tcW w:w="624" w:type="dxa"/>
          </w:tcPr>
          <w:p w14:paraId="0075A143" w14:textId="77777777" w:rsidR="00341A6B" w:rsidRDefault="00341A6B">
            <w:pPr>
              <w:pStyle w:val="TableText"/>
            </w:pPr>
          </w:p>
        </w:tc>
        <w:tc>
          <w:tcPr>
            <w:tcW w:w="6522" w:type="dxa"/>
            <w:gridSpan w:val="5"/>
          </w:tcPr>
          <w:p w14:paraId="3BB828C2" w14:textId="3BEC8010" w:rsidR="00341A6B" w:rsidRPr="00341A6B" w:rsidRDefault="00341A6B" w:rsidP="008D6274">
            <w:pPr>
              <w:pStyle w:val="TableBlock"/>
              <w:rPr>
                <w:rtl/>
              </w:rPr>
            </w:pPr>
            <w:r>
              <w:rPr>
                <w:rFonts w:hint="cs"/>
                <w:rtl/>
              </w:rPr>
              <w:t>"</w:t>
            </w:r>
            <w:r w:rsidRPr="008D6274">
              <w:rPr>
                <w:rFonts w:hint="cs"/>
                <w:rtl/>
              </w:rPr>
              <w:t>א</w:t>
            </w:r>
            <w:r w:rsidRPr="008D6274">
              <w:rPr>
                <w:rtl/>
              </w:rPr>
              <w:t>ישר בית המשפט הסדר פשרה, יקבע גמול למבקש או לתובע המייצג</w:t>
            </w:r>
            <w:r w:rsidRPr="008D6274">
              <w:rPr>
                <w:rFonts w:hint="cs"/>
                <w:rtl/>
              </w:rPr>
              <w:t xml:space="preserve"> </w:t>
            </w:r>
            <w:r w:rsidRPr="008D6274">
              <w:rPr>
                <w:rtl/>
              </w:rPr>
              <w:t xml:space="preserve">ושכר טרחה לבא כוח המייצג בהתאם להוראות סעיף 23; בית המשפט  </w:t>
            </w:r>
            <w:r w:rsidR="008D6274">
              <w:rPr>
                <w:rFonts w:hint="cs"/>
                <w:rtl/>
              </w:rPr>
              <w:t xml:space="preserve">יקבע </w:t>
            </w:r>
            <w:r w:rsidRPr="008D6274">
              <w:rPr>
                <w:rtl/>
              </w:rPr>
              <w:t>כי תשלום שכר הטרחה לבא כוח המייצג יהיה מותנה, כולו או חלקו</w:t>
            </w:r>
            <w:r w:rsidRPr="008D6274">
              <w:rPr>
                <w:rFonts w:hint="cs"/>
                <w:rtl/>
              </w:rPr>
              <w:t xml:space="preserve"> העיקרי</w:t>
            </w:r>
            <w:r w:rsidRPr="008D6274">
              <w:rPr>
                <w:rtl/>
              </w:rPr>
              <w:t>, במימוש הסדר הפשרה ובהשלמת ביצו</w:t>
            </w:r>
            <w:r w:rsidR="007340C0">
              <w:rPr>
                <w:rFonts w:hint="cs"/>
                <w:rtl/>
              </w:rPr>
              <w:t>ע</w:t>
            </w:r>
            <w:r w:rsidRPr="008D6274">
              <w:t>.</w:t>
            </w:r>
            <w:r w:rsidR="007340C0">
              <w:rPr>
                <w:rFonts w:hint="cs"/>
                <w:rtl/>
              </w:rPr>
              <w:t>"</w:t>
            </w:r>
          </w:p>
        </w:tc>
      </w:tr>
      <w:tr w:rsidR="00574CF1" w14:paraId="63DBFA55" w14:textId="77777777">
        <w:trPr>
          <w:cantSplit/>
          <w:trHeight w:val="60"/>
        </w:trPr>
        <w:tc>
          <w:tcPr>
            <w:tcW w:w="1871" w:type="dxa"/>
          </w:tcPr>
          <w:p w14:paraId="4FA78DC1" w14:textId="085AB811" w:rsidR="00574CF1" w:rsidRDefault="00574CF1" w:rsidP="007E751D">
            <w:pPr>
              <w:pStyle w:val="TableSideHeading"/>
              <w:keepLines w:val="0"/>
            </w:pPr>
            <w:r>
              <w:rPr>
                <w:rFonts w:hint="cs"/>
                <w:rtl/>
              </w:rPr>
              <w:t>תיקון סעיף 20</w:t>
            </w:r>
          </w:p>
        </w:tc>
        <w:tc>
          <w:tcPr>
            <w:tcW w:w="624" w:type="dxa"/>
          </w:tcPr>
          <w:p w14:paraId="69F60CBD" w14:textId="77777777" w:rsidR="00574CF1" w:rsidRDefault="00574CF1" w:rsidP="00461E2C">
            <w:pPr>
              <w:pStyle w:val="TableText"/>
              <w:keepLines w:val="0"/>
              <w:numPr>
                <w:ilvl w:val="0"/>
                <w:numId w:val="2"/>
              </w:numPr>
            </w:pPr>
          </w:p>
        </w:tc>
        <w:tc>
          <w:tcPr>
            <w:tcW w:w="7146" w:type="dxa"/>
            <w:gridSpan w:val="6"/>
          </w:tcPr>
          <w:p w14:paraId="1F539085" w14:textId="2A02B9BE" w:rsidR="00574CF1" w:rsidRPr="00C34DE2" w:rsidRDefault="00574CF1" w:rsidP="007E751D">
            <w:pPr>
              <w:pStyle w:val="TableBlock"/>
              <w:keepLines w:val="0"/>
            </w:pPr>
            <w:r>
              <w:rPr>
                <w:rFonts w:hint="cs"/>
                <w:rtl/>
              </w:rPr>
              <w:t xml:space="preserve">בסעיף 20 לחוק העיקרי - </w:t>
            </w:r>
          </w:p>
        </w:tc>
      </w:tr>
      <w:tr w:rsidR="00574CF1" w14:paraId="415980F3" w14:textId="77777777">
        <w:trPr>
          <w:cantSplit/>
          <w:trHeight w:val="60"/>
        </w:trPr>
        <w:tc>
          <w:tcPr>
            <w:tcW w:w="1871" w:type="dxa"/>
          </w:tcPr>
          <w:p w14:paraId="459C671E" w14:textId="77777777" w:rsidR="00574CF1" w:rsidRDefault="00574CF1">
            <w:pPr>
              <w:pStyle w:val="TableSideHeading"/>
            </w:pPr>
          </w:p>
        </w:tc>
        <w:tc>
          <w:tcPr>
            <w:tcW w:w="624" w:type="dxa"/>
          </w:tcPr>
          <w:p w14:paraId="1C2CD37A" w14:textId="77777777" w:rsidR="00574CF1" w:rsidRDefault="00574CF1">
            <w:pPr>
              <w:pStyle w:val="TableText"/>
            </w:pPr>
          </w:p>
        </w:tc>
        <w:tc>
          <w:tcPr>
            <w:tcW w:w="624" w:type="dxa"/>
          </w:tcPr>
          <w:p w14:paraId="7EB9A02C" w14:textId="77777777" w:rsidR="00574CF1" w:rsidRDefault="00574CF1">
            <w:pPr>
              <w:pStyle w:val="TableText"/>
            </w:pPr>
          </w:p>
        </w:tc>
        <w:tc>
          <w:tcPr>
            <w:tcW w:w="6522" w:type="dxa"/>
            <w:gridSpan w:val="5"/>
          </w:tcPr>
          <w:p w14:paraId="3242A24F" w14:textId="5946E603" w:rsidR="00574CF1" w:rsidRDefault="001E49D3" w:rsidP="00461E2C">
            <w:pPr>
              <w:pStyle w:val="TableBlock"/>
              <w:numPr>
                <w:ilvl w:val="0"/>
                <w:numId w:val="13"/>
              </w:numPr>
              <w:tabs>
                <w:tab w:val="left" w:pos="624"/>
              </w:tabs>
            </w:pPr>
            <w:r>
              <w:rPr>
                <w:rFonts w:hint="cs"/>
                <w:rtl/>
              </w:rPr>
              <w:t>במקום סעיף קטן (א) יבוא:</w:t>
            </w:r>
          </w:p>
        </w:tc>
      </w:tr>
      <w:tr w:rsidR="001E49D3" w14:paraId="5CB9AAFC" w14:textId="77777777">
        <w:trPr>
          <w:cantSplit/>
          <w:trHeight w:val="60"/>
        </w:trPr>
        <w:tc>
          <w:tcPr>
            <w:tcW w:w="1871" w:type="dxa"/>
          </w:tcPr>
          <w:p w14:paraId="5785CF6A" w14:textId="77777777" w:rsidR="001E49D3" w:rsidRDefault="001E49D3">
            <w:pPr>
              <w:pStyle w:val="TableSideHeading"/>
            </w:pPr>
          </w:p>
        </w:tc>
        <w:tc>
          <w:tcPr>
            <w:tcW w:w="624" w:type="dxa"/>
          </w:tcPr>
          <w:p w14:paraId="43730394" w14:textId="77777777" w:rsidR="001E49D3" w:rsidRDefault="001E49D3">
            <w:pPr>
              <w:pStyle w:val="TableText"/>
            </w:pPr>
          </w:p>
        </w:tc>
        <w:tc>
          <w:tcPr>
            <w:tcW w:w="624" w:type="dxa"/>
          </w:tcPr>
          <w:p w14:paraId="2E5D1816" w14:textId="77777777" w:rsidR="001E49D3" w:rsidRDefault="001E49D3">
            <w:pPr>
              <w:pStyle w:val="TableText"/>
            </w:pPr>
          </w:p>
        </w:tc>
        <w:tc>
          <w:tcPr>
            <w:tcW w:w="624" w:type="dxa"/>
          </w:tcPr>
          <w:p w14:paraId="4471DD3B" w14:textId="77777777" w:rsidR="001E49D3" w:rsidRDefault="001E49D3">
            <w:pPr>
              <w:pStyle w:val="TableText"/>
            </w:pPr>
          </w:p>
        </w:tc>
        <w:tc>
          <w:tcPr>
            <w:tcW w:w="5898" w:type="dxa"/>
            <w:gridSpan w:val="4"/>
          </w:tcPr>
          <w:p w14:paraId="5F410715" w14:textId="70B0E9BB" w:rsidR="001E49D3" w:rsidRDefault="001E49D3" w:rsidP="00181075">
            <w:pPr>
              <w:pStyle w:val="TableBlock"/>
            </w:pPr>
            <w:r>
              <w:rPr>
                <w:rFonts w:hint="cs"/>
                <w:rtl/>
              </w:rPr>
              <w:t>"(א)</w:t>
            </w:r>
            <w:r w:rsidR="00B574A8">
              <w:rPr>
                <w:rFonts w:hint="cs"/>
                <w:rtl/>
              </w:rPr>
              <w:t>(1)</w:t>
            </w:r>
            <w:r>
              <w:rPr>
                <w:rFonts w:hint="cs"/>
                <w:rtl/>
              </w:rPr>
              <w:t xml:space="preserve"> הכריע בית המשפט </w:t>
            </w:r>
            <w:r w:rsidRPr="001E49D3">
              <w:rPr>
                <w:rFonts w:hint="cs"/>
                <w:rtl/>
              </w:rPr>
              <w:t>בתובענה הייצוגית, כולה או חלקה, לטובת הקבוצה שבשמה נוהלה התובענה הייצוגית, כולה או חלקה, לרבות בדרך של אישור הסדר פשרה</w:t>
            </w:r>
            <w:r w:rsidR="008C5825">
              <w:rPr>
                <w:rFonts w:hint="cs"/>
                <w:rtl/>
              </w:rPr>
              <w:t xml:space="preserve"> ו</w:t>
            </w:r>
            <w:r w:rsidR="00181075">
              <w:rPr>
                <w:rFonts w:hint="cs"/>
                <w:rtl/>
              </w:rPr>
              <w:t xml:space="preserve">מצא בית המשפט </w:t>
            </w:r>
            <w:r w:rsidR="00181075" w:rsidRPr="001E49D3">
              <w:rPr>
                <w:rFonts w:hint="cs"/>
                <w:rtl/>
              </w:rPr>
              <w:t xml:space="preserve">שפיצוי אישי לחברי הקבוצה, כולם או חלקם, מעשי בנסיבות העניין, יורה בית המשפט על תשלום פיצוי </w:t>
            </w:r>
            <w:r w:rsidR="00A300B7">
              <w:rPr>
                <w:rFonts w:hint="cs"/>
                <w:rtl/>
              </w:rPr>
              <w:t>כספי</w:t>
            </w:r>
            <w:r w:rsidR="00A300B7" w:rsidRPr="001E49D3">
              <w:rPr>
                <w:rFonts w:hint="cs"/>
                <w:rtl/>
              </w:rPr>
              <w:t xml:space="preserve"> </w:t>
            </w:r>
            <w:r w:rsidR="00181075" w:rsidRPr="001E49D3">
              <w:rPr>
                <w:rFonts w:hint="cs"/>
                <w:rtl/>
              </w:rPr>
              <w:t xml:space="preserve">בשיעור ובאופן שייקבע לכל אחד מחברי הקבוצה שהוכחה זכאותו לפיצוי או לסעד כאמור. </w:t>
            </w:r>
          </w:p>
        </w:tc>
      </w:tr>
      <w:tr w:rsidR="00B574A8" w14:paraId="77C042A4" w14:textId="77777777">
        <w:trPr>
          <w:cantSplit/>
          <w:trHeight w:val="60"/>
        </w:trPr>
        <w:tc>
          <w:tcPr>
            <w:tcW w:w="1871" w:type="dxa"/>
          </w:tcPr>
          <w:p w14:paraId="30E1AF13" w14:textId="77777777" w:rsidR="00B574A8" w:rsidRDefault="00B574A8">
            <w:pPr>
              <w:pStyle w:val="TableSideHeading"/>
            </w:pPr>
          </w:p>
        </w:tc>
        <w:tc>
          <w:tcPr>
            <w:tcW w:w="624" w:type="dxa"/>
          </w:tcPr>
          <w:p w14:paraId="5D063CF9" w14:textId="77777777" w:rsidR="00B574A8" w:rsidRDefault="00B574A8" w:rsidP="00B574A8">
            <w:pPr>
              <w:pStyle w:val="TableText"/>
            </w:pPr>
          </w:p>
        </w:tc>
        <w:tc>
          <w:tcPr>
            <w:tcW w:w="624" w:type="dxa"/>
          </w:tcPr>
          <w:p w14:paraId="535E0AD3" w14:textId="77777777" w:rsidR="00B574A8" w:rsidRDefault="00B574A8">
            <w:pPr>
              <w:pStyle w:val="TableText"/>
            </w:pPr>
          </w:p>
        </w:tc>
        <w:tc>
          <w:tcPr>
            <w:tcW w:w="624" w:type="dxa"/>
          </w:tcPr>
          <w:p w14:paraId="59D22FD8" w14:textId="77777777" w:rsidR="00B574A8" w:rsidRDefault="00B574A8">
            <w:pPr>
              <w:pStyle w:val="TableText"/>
            </w:pPr>
          </w:p>
        </w:tc>
        <w:tc>
          <w:tcPr>
            <w:tcW w:w="5898" w:type="dxa"/>
            <w:gridSpan w:val="4"/>
          </w:tcPr>
          <w:p w14:paraId="6F826096" w14:textId="41EF6288" w:rsidR="00B574A8" w:rsidRDefault="00B574A8" w:rsidP="00181075">
            <w:pPr>
              <w:pStyle w:val="TableBlock"/>
              <w:rPr>
                <w:rtl/>
              </w:rPr>
            </w:pPr>
            <w:r>
              <w:rPr>
                <w:rFonts w:hint="cs"/>
                <w:rtl/>
              </w:rPr>
              <w:t>(2)</w:t>
            </w:r>
            <w:r w:rsidRPr="001E49D3">
              <w:rPr>
                <w:rFonts w:hint="cs"/>
                <w:rtl/>
              </w:rPr>
              <w:t xml:space="preserve"> </w:t>
            </w:r>
            <w:r w:rsidR="00A300B7">
              <w:rPr>
                <w:rFonts w:hint="cs"/>
                <w:rtl/>
              </w:rPr>
              <w:t xml:space="preserve">על אף האמור בפסקה (1), </w:t>
            </w:r>
            <w:r w:rsidRPr="001E49D3">
              <w:rPr>
                <w:rFonts w:hint="cs"/>
                <w:rtl/>
              </w:rPr>
              <w:t xml:space="preserve">בית המשפט יהיה רשאי ליתן סעד אישי, שאינו כספי, לחבר קבוצה, רק אם ניתנה לכך הסכמה מפורשת של חבר הקבוצה, לאחר שהוצגה לבחירתו </w:t>
            </w:r>
            <w:r>
              <w:rPr>
                <w:rFonts w:hint="cs"/>
                <w:rtl/>
              </w:rPr>
              <w:t>חלופה</w:t>
            </w:r>
            <w:r w:rsidRPr="001E49D3">
              <w:rPr>
                <w:rFonts w:hint="cs"/>
                <w:rtl/>
              </w:rPr>
              <w:t xml:space="preserve"> של סעד כספי; </w:t>
            </w:r>
          </w:p>
        </w:tc>
      </w:tr>
      <w:tr w:rsidR="00B574A8" w14:paraId="66FCB29F" w14:textId="77777777">
        <w:trPr>
          <w:cantSplit/>
          <w:trHeight w:val="60"/>
        </w:trPr>
        <w:tc>
          <w:tcPr>
            <w:tcW w:w="1871" w:type="dxa"/>
          </w:tcPr>
          <w:p w14:paraId="69245015" w14:textId="77777777" w:rsidR="00B574A8" w:rsidRDefault="00B574A8">
            <w:pPr>
              <w:pStyle w:val="TableSideHeading"/>
            </w:pPr>
          </w:p>
        </w:tc>
        <w:tc>
          <w:tcPr>
            <w:tcW w:w="624" w:type="dxa"/>
          </w:tcPr>
          <w:p w14:paraId="31212220" w14:textId="77777777" w:rsidR="00B574A8" w:rsidRDefault="00B574A8" w:rsidP="00B574A8">
            <w:pPr>
              <w:pStyle w:val="TableText"/>
            </w:pPr>
          </w:p>
        </w:tc>
        <w:tc>
          <w:tcPr>
            <w:tcW w:w="624" w:type="dxa"/>
          </w:tcPr>
          <w:p w14:paraId="5F270010" w14:textId="77777777" w:rsidR="00B574A8" w:rsidRDefault="00B574A8">
            <w:pPr>
              <w:pStyle w:val="TableText"/>
            </w:pPr>
          </w:p>
        </w:tc>
        <w:tc>
          <w:tcPr>
            <w:tcW w:w="624" w:type="dxa"/>
          </w:tcPr>
          <w:p w14:paraId="763A48DD" w14:textId="77777777" w:rsidR="00B574A8" w:rsidRDefault="00B574A8">
            <w:pPr>
              <w:pStyle w:val="TableText"/>
            </w:pPr>
          </w:p>
        </w:tc>
        <w:tc>
          <w:tcPr>
            <w:tcW w:w="5898" w:type="dxa"/>
            <w:gridSpan w:val="4"/>
          </w:tcPr>
          <w:p w14:paraId="350A4B6F" w14:textId="5389B571" w:rsidR="00B574A8" w:rsidRPr="00B574A8" w:rsidRDefault="00B574A8" w:rsidP="00B574A8">
            <w:pPr>
              <w:pStyle w:val="TableBlock"/>
              <w:tabs>
                <w:tab w:val="clear" w:pos="624"/>
              </w:tabs>
              <w:rPr>
                <w:rtl/>
              </w:rPr>
            </w:pPr>
            <w:r>
              <w:rPr>
                <w:rFonts w:hint="cs"/>
                <w:rtl/>
              </w:rPr>
              <w:t xml:space="preserve">(3) </w:t>
            </w:r>
            <w:r w:rsidRPr="001E49D3">
              <w:rPr>
                <w:rFonts w:hint="cs"/>
                <w:rtl/>
              </w:rPr>
              <w:t xml:space="preserve">הורה בית המשפט על תשלום פיצוי </w:t>
            </w:r>
            <w:r w:rsidR="00A300B7">
              <w:rPr>
                <w:rFonts w:hint="cs"/>
                <w:rtl/>
              </w:rPr>
              <w:t xml:space="preserve">כספי </w:t>
            </w:r>
            <w:r w:rsidRPr="001E49D3">
              <w:rPr>
                <w:rFonts w:hint="cs"/>
                <w:rtl/>
              </w:rPr>
              <w:t>כאמור</w:t>
            </w:r>
            <w:r w:rsidR="00A300B7">
              <w:rPr>
                <w:rFonts w:hint="cs"/>
                <w:rtl/>
              </w:rPr>
              <w:t xml:space="preserve"> בפסקה (1)</w:t>
            </w:r>
            <w:r w:rsidRPr="001E49D3">
              <w:rPr>
                <w:rFonts w:hint="cs"/>
                <w:rtl/>
              </w:rPr>
              <w:t xml:space="preserve">, רשאי הוא להורות בדבר חלוקה בין חברי הקבוצה, באופן יחסי לנזקיהם, של יתרת הסכום שתיוותר אם חבר קבוצה, אחד או יותר, לא דרש את חלקו, לא הוכיח את זכאותו </w:t>
            </w:r>
            <w:r w:rsidRPr="001E49D3">
              <w:rPr>
                <w:rFonts w:hint="eastAsia"/>
                <w:rtl/>
              </w:rPr>
              <w:t>לפיצוי</w:t>
            </w:r>
            <w:r w:rsidRPr="001E49D3">
              <w:rPr>
                <w:rtl/>
              </w:rPr>
              <w:t xml:space="preserve"> </w:t>
            </w:r>
            <w:r w:rsidRPr="001E49D3">
              <w:rPr>
                <w:rFonts w:hint="eastAsia"/>
                <w:rtl/>
              </w:rPr>
              <w:t>או</w:t>
            </w:r>
            <w:r w:rsidRPr="001E49D3">
              <w:rPr>
                <w:rtl/>
              </w:rPr>
              <w:t xml:space="preserve"> </w:t>
            </w:r>
            <w:r w:rsidRPr="001E49D3">
              <w:rPr>
                <w:rFonts w:hint="eastAsia"/>
                <w:rtl/>
              </w:rPr>
              <w:t>לסעד</w:t>
            </w:r>
            <w:r w:rsidRPr="001E49D3">
              <w:rPr>
                <w:rFonts w:hint="cs"/>
                <w:rtl/>
              </w:rPr>
              <w:t xml:space="preserve">, לא אותר או שלא ניתן לחלק לו את חלקו מסיבה אחרת, ובלבד שחבר קבוצה לא יקבל פיצוי כספי מעבר למלוא הפיצוי המגיע לו; </w:t>
            </w:r>
            <w:r w:rsidR="00A300B7" w:rsidRPr="001E49D3">
              <w:rPr>
                <w:rFonts w:hint="cs"/>
                <w:rtl/>
              </w:rPr>
              <w:t>נותרה יתרת סכום לאחר החלוקה לחברי הקבוצה כאמור, יורה בית המשפט על העברתה לקרן שהוקמה מכוח סעיף 27א;</w:t>
            </w:r>
          </w:p>
        </w:tc>
      </w:tr>
      <w:tr w:rsidR="00181075" w14:paraId="2EAD1813" w14:textId="77777777">
        <w:trPr>
          <w:cantSplit/>
          <w:trHeight w:val="60"/>
        </w:trPr>
        <w:tc>
          <w:tcPr>
            <w:tcW w:w="1871" w:type="dxa"/>
          </w:tcPr>
          <w:p w14:paraId="475E8792" w14:textId="77777777" w:rsidR="00181075" w:rsidRDefault="00181075">
            <w:pPr>
              <w:pStyle w:val="TableSideHeading"/>
            </w:pPr>
          </w:p>
        </w:tc>
        <w:tc>
          <w:tcPr>
            <w:tcW w:w="624" w:type="dxa"/>
          </w:tcPr>
          <w:p w14:paraId="1083C296" w14:textId="77777777" w:rsidR="00181075" w:rsidRDefault="00181075">
            <w:pPr>
              <w:pStyle w:val="TableText"/>
            </w:pPr>
          </w:p>
        </w:tc>
        <w:tc>
          <w:tcPr>
            <w:tcW w:w="624" w:type="dxa"/>
          </w:tcPr>
          <w:p w14:paraId="29CCA01A" w14:textId="77777777" w:rsidR="00181075" w:rsidRDefault="00181075">
            <w:pPr>
              <w:pStyle w:val="TableText"/>
            </w:pPr>
          </w:p>
        </w:tc>
        <w:tc>
          <w:tcPr>
            <w:tcW w:w="6522" w:type="dxa"/>
            <w:gridSpan w:val="5"/>
          </w:tcPr>
          <w:p w14:paraId="2A26D459" w14:textId="2EAD52B2" w:rsidR="00181075" w:rsidRDefault="00181075" w:rsidP="00181075">
            <w:pPr>
              <w:pStyle w:val="TableBlock"/>
              <w:numPr>
                <w:ilvl w:val="0"/>
                <w:numId w:val="13"/>
              </w:numPr>
              <w:tabs>
                <w:tab w:val="left" w:pos="624"/>
              </w:tabs>
            </w:pPr>
            <w:r>
              <w:rPr>
                <w:rFonts w:hint="cs"/>
                <w:rtl/>
              </w:rPr>
              <w:t>במקום סעיף קטן (ג) יבוא:</w:t>
            </w:r>
          </w:p>
        </w:tc>
      </w:tr>
      <w:tr w:rsidR="00E56D1D" w14:paraId="492E476F" w14:textId="77777777">
        <w:trPr>
          <w:cantSplit/>
          <w:trHeight w:val="60"/>
        </w:trPr>
        <w:tc>
          <w:tcPr>
            <w:tcW w:w="1871" w:type="dxa"/>
          </w:tcPr>
          <w:p w14:paraId="41380F6C" w14:textId="77777777" w:rsidR="00E56D1D" w:rsidRDefault="00E56D1D" w:rsidP="00541C1D">
            <w:pPr>
              <w:pStyle w:val="TableSideHeading"/>
              <w:ind w:left="408"/>
            </w:pPr>
          </w:p>
        </w:tc>
        <w:tc>
          <w:tcPr>
            <w:tcW w:w="624" w:type="dxa"/>
          </w:tcPr>
          <w:p w14:paraId="1EB47DF3" w14:textId="77777777" w:rsidR="00E56D1D" w:rsidRDefault="00E56D1D">
            <w:pPr>
              <w:pStyle w:val="TableText"/>
            </w:pPr>
          </w:p>
        </w:tc>
        <w:tc>
          <w:tcPr>
            <w:tcW w:w="624" w:type="dxa"/>
          </w:tcPr>
          <w:p w14:paraId="0D509358" w14:textId="77777777" w:rsidR="00E56D1D" w:rsidRDefault="00E56D1D">
            <w:pPr>
              <w:pStyle w:val="TableText"/>
            </w:pPr>
          </w:p>
        </w:tc>
        <w:tc>
          <w:tcPr>
            <w:tcW w:w="624" w:type="dxa"/>
          </w:tcPr>
          <w:p w14:paraId="6731560E" w14:textId="13D997AF" w:rsidR="00E56D1D" w:rsidRDefault="00E56D1D">
            <w:pPr>
              <w:pStyle w:val="TableText"/>
            </w:pPr>
          </w:p>
        </w:tc>
        <w:tc>
          <w:tcPr>
            <w:tcW w:w="5898" w:type="dxa"/>
            <w:gridSpan w:val="4"/>
          </w:tcPr>
          <w:p w14:paraId="6ABF550A" w14:textId="454653E7" w:rsidR="00E56D1D" w:rsidRDefault="00E56D1D" w:rsidP="00E56D1D">
            <w:pPr>
              <w:pStyle w:val="TableBlock"/>
              <w:rPr>
                <w:rtl/>
              </w:rPr>
            </w:pPr>
            <w:r>
              <w:rPr>
                <w:rFonts w:hint="cs"/>
                <w:rtl/>
              </w:rPr>
              <w:t xml:space="preserve">"(ג) </w:t>
            </w:r>
            <w:r w:rsidR="00743602">
              <w:rPr>
                <w:rFonts w:hint="cs"/>
                <w:rtl/>
              </w:rPr>
              <w:t xml:space="preserve">(1) </w:t>
            </w:r>
            <w:r>
              <w:rPr>
                <w:rFonts w:hint="cs"/>
                <w:rtl/>
              </w:rPr>
              <w:t xml:space="preserve">הכריע בית המשפט </w:t>
            </w:r>
            <w:r w:rsidRPr="001E49D3">
              <w:rPr>
                <w:rFonts w:hint="cs"/>
                <w:rtl/>
              </w:rPr>
              <w:t>בתובענה הייצוגית, כולה או חלקה, לטובת הקבוצה שבשמה נוהלה התובענה הייצוגית, כולה או חלקה, לרבות בדרך של אישור הסדר פשרה</w:t>
            </w:r>
            <w:r>
              <w:rPr>
                <w:rFonts w:hint="cs"/>
                <w:rtl/>
              </w:rPr>
              <w:t xml:space="preserve"> ומצא בית </w:t>
            </w:r>
            <w:r w:rsidRPr="001E49D3">
              <w:rPr>
                <w:rFonts w:hint="cs"/>
                <w:rtl/>
              </w:rPr>
              <w:t>המשפט כי פיצוי אישי לחברי הקבוצה, כולם או חלקם, אינו מעשי בנסיבות העניין, בין משום שלא ניתן לזהותם ולבצע את התשלום בעלות סבירה ובין מסיבה אחרת, יורה בית המשפט על מתן סעד כספי לטובת הציבור שיועבר אל הקרן שהוקמה מכוח סעיף 27א</w:t>
            </w:r>
            <w:r w:rsidR="00743602">
              <w:rPr>
                <w:rFonts w:hint="cs"/>
                <w:rtl/>
              </w:rPr>
              <w:t>;</w:t>
            </w:r>
            <w:r w:rsidR="00743602" w:rsidRPr="00743602">
              <w:rPr>
                <w:rtl/>
              </w:rPr>
              <w:t xml:space="preserve"> </w:t>
            </w:r>
          </w:p>
        </w:tc>
      </w:tr>
      <w:tr w:rsidR="00743602" w14:paraId="0AF7B894" w14:textId="77777777">
        <w:trPr>
          <w:cantSplit/>
          <w:trHeight w:val="60"/>
        </w:trPr>
        <w:tc>
          <w:tcPr>
            <w:tcW w:w="1871" w:type="dxa"/>
          </w:tcPr>
          <w:p w14:paraId="049ACE08" w14:textId="77777777" w:rsidR="00743602" w:rsidRDefault="00743602" w:rsidP="00541C1D">
            <w:pPr>
              <w:pStyle w:val="TableSideHeading"/>
              <w:ind w:left="408"/>
            </w:pPr>
          </w:p>
        </w:tc>
        <w:tc>
          <w:tcPr>
            <w:tcW w:w="624" w:type="dxa"/>
          </w:tcPr>
          <w:p w14:paraId="41DEAB4C" w14:textId="77777777" w:rsidR="00743602" w:rsidRDefault="00743602" w:rsidP="00743602">
            <w:pPr>
              <w:pStyle w:val="TableText"/>
            </w:pPr>
          </w:p>
        </w:tc>
        <w:tc>
          <w:tcPr>
            <w:tcW w:w="624" w:type="dxa"/>
          </w:tcPr>
          <w:p w14:paraId="165E6AC3" w14:textId="77777777" w:rsidR="00743602" w:rsidRDefault="00743602">
            <w:pPr>
              <w:pStyle w:val="TableText"/>
            </w:pPr>
          </w:p>
        </w:tc>
        <w:tc>
          <w:tcPr>
            <w:tcW w:w="624" w:type="dxa"/>
          </w:tcPr>
          <w:p w14:paraId="3F3280C0" w14:textId="77777777" w:rsidR="00743602" w:rsidRDefault="00743602">
            <w:pPr>
              <w:pStyle w:val="TableText"/>
            </w:pPr>
          </w:p>
        </w:tc>
        <w:tc>
          <w:tcPr>
            <w:tcW w:w="5898" w:type="dxa"/>
            <w:gridSpan w:val="4"/>
          </w:tcPr>
          <w:p w14:paraId="0F820B49" w14:textId="37803056" w:rsidR="00743602" w:rsidRDefault="00743602" w:rsidP="00E56D1D">
            <w:pPr>
              <w:pStyle w:val="TableBlock"/>
              <w:rPr>
                <w:rtl/>
              </w:rPr>
            </w:pPr>
            <w:r>
              <w:rPr>
                <w:rFonts w:hint="cs"/>
                <w:rtl/>
              </w:rPr>
              <w:t xml:space="preserve">(2) על אף האמור בפסקה (1), </w:t>
            </w:r>
            <w:r w:rsidRPr="001E49D3">
              <w:rPr>
                <w:rFonts w:hint="cs"/>
                <w:rtl/>
              </w:rPr>
              <w:t>במסגרת הסדר הפשרה הצדדים רשאים להציע</w:t>
            </w:r>
            <w:r>
              <w:rPr>
                <w:rFonts w:hint="cs"/>
                <w:rtl/>
              </w:rPr>
              <w:t xml:space="preserve"> לבית המשפט</w:t>
            </w:r>
            <w:r w:rsidRPr="001E49D3">
              <w:rPr>
                <w:rFonts w:hint="cs"/>
                <w:rtl/>
              </w:rPr>
              <w:t xml:space="preserve"> חלופה נוספת שעניינה סעד אחר לטובת הקבוצה, כולה או חלקה.</w:t>
            </w:r>
            <w:r>
              <w:rPr>
                <w:rFonts w:hint="cs"/>
                <w:rtl/>
              </w:rPr>
              <w:t xml:space="preserve"> סעד זה לא יכלול תרומת מוצרים. על הכרעת בית המשפט </w:t>
            </w:r>
            <w:r w:rsidR="008B56B4">
              <w:rPr>
                <w:rFonts w:hint="cs"/>
                <w:rtl/>
              </w:rPr>
              <w:t xml:space="preserve">בין </w:t>
            </w:r>
            <w:r>
              <w:rPr>
                <w:rFonts w:hint="cs"/>
                <w:rtl/>
              </w:rPr>
              <w:t xml:space="preserve">החלופות כאמור לא ניתן לערער. </w:t>
            </w:r>
            <w:r w:rsidRPr="00743602">
              <w:rPr>
                <w:rFonts w:hint="cs"/>
                <w:rtl/>
              </w:rPr>
              <w:t>הורה בית המשפט על מתן סעד אחר לטובת הקבוצה כאמור, ו</w:t>
            </w:r>
            <w:r w:rsidRPr="00743602">
              <w:rPr>
                <w:rtl/>
              </w:rPr>
              <w:t xml:space="preserve">נותרה יתרת </w:t>
            </w:r>
            <w:r w:rsidRPr="00743602">
              <w:rPr>
                <w:rFonts w:hint="cs"/>
                <w:rtl/>
              </w:rPr>
              <w:t xml:space="preserve">פיצוי שלא מומשה </w:t>
            </w:r>
            <w:r w:rsidRPr="00743602">
              <w:rPr>
                <w:rtl/>
              </w:rPr>
              <w:t>לאחר החלוקה לחברי הקבוצה, יורה בית המשפט על העברתה לקרן שהוקמה מכוח סעיף 27א</w:t>
            </w:r>
            <w:r>
              <w:rPr>
                <w:rFonts w:hint="cs"/>
                <w:rtl/>
              </w:rPr>
              <w:t>;</w:t>
            </w:r>
          </w:p>
        </w:tc>
      </w:tr>
      <w:tr w:rsidR="007340C0" w14:paraId="1BFB98C2" w14:textId="77777777">
        <w:trPr>
          <w:cantSplit/>
          <w:trHeight w:val="60"/>
        </w:trPr>
        <w:tc>
          <w:tcPr>
            <w:tcW w:w="1871" w:type="dxa"/>
          </w:tcPr>
          <w:p w14:paraId="76F7C1E7" w14:textId="77777777" w:rsidR="007340C0" w:rsidRDefault="007340C0">
            <w:pPr>
              <w:pStyle w:val="TableSideHeading"/>
            </w:pPr>
          </w:p>
        </w:tc>
        <w:tc>
          <w:tcPr>
            <w:tcW w:w="624" w:type="dxa"/>
          </w:tcPr>
          <w:p w14:paraId="19D6B44E" w14:textId="77777777" w:rsidR="007340C0" w:rsidRDefault="007340C0">
            <w:pPr>
              <w:pStyle w:val="TableText"/>
            </w:pPr>
          </w:p>
        </w:tc>
        <w:tc>
          <w:tcPr>
            <w:tcW w:w="624" w:type="dxa"/>
          </w:tcPr>
          <w:p w14:paraId="5CCFD1B3" w14:textId="77777777" w:rsidR="007340C0" w:rsidRDefault="007340C0">
            <w:pPr>
              <w:pStyle w:val="TableText"/>
            </w:pPr>
          </w:p>
        </w:tc>
        <w:tc>
          <w:tcPr>
            <w:tcW w:w="6522" w:type="dxa"/>
            <w:gridSpan w:val="5"/>
          </w:tcPr>
          <w:p w14:paraId="2BACB72A" w14:textId="19B32B98" w:rsidR="007340C0" w:rsidRDefault="007340C0" w:rsidP="007340C0">
            <w:pPr>
              <w:pStyle w:val="TableBlock"/>
              <w:numPr>
                <w:ilvl w:val="0"/>
                <w:numId w:val="13"/>
              </w:numPr>
              <w:tabs>
                <w:tab w:val="left" w:pos="624"/>
              </w:tabs>
            </w:pPr>
            <w:r>
              <w:rPr>
                <w:rFonts w:hint="cs"/>
                <w:rtl/>
              </w:rPr>
              <w:t>אחרי סעיף (ג) יבוא:</w:t>
            </w:r>
          </w:p>
        </w:tc>
      </w:tr>
      <w:tr w:rsidR="007340C0" w14:paraId="2A09BA3F" w14:textId="77777777">
        <w:trPr>
          <w:cantSplit/>
          <w:trHeight w:val="60"/>
        </w:trPr>
        <w:tc>
          <w:tcPr>
            <w:tcW w:w="1871" w:type="dxa"/>
          </w:tcPr>
          <w:p w14:paraId="51979FF5" w14:textId="77777777" w:rsidR="007340C0" w:rsidRDefault="007340C0" w:rsidP="00541C1D">
            <w:pPr>
              <w:pStyle w:val="TableSideHeading"/>
              <w:ind w:left="408"/>
            </w:pPr>
          </w:p>
        </w:tc>
        <w:tc>
          <w:tcPr>
            <w:tcW w:w="624" w:type="dxa"/>
          </w:tcPr>
          <w:p w14:paraId="40E052DE" w14:textId="77777777" w:rsidR="007340C0" w:rsidRDefault="007340C0" w:rsidP="007340C0">
            <w:pPr>
              <w:pStyle w:val="TableText"/>
            </w:pPr>
          </w:p>
        </w:tc>
        <w:tc>
          <w:tcPr>
            <w:tcW w:w="624" w:type="dxa"/>
          </w:tcPr>
          <w:p w14:paraId="78D7F8D2" w14:textId="77777777" w:rsidR="007340C0" w:rsidRDefault="007340C0">
            <w:pPr>
              <w:pStyle w:val="TableText"/>
            </w:pPr>
          </w:p>
        </w:tc>
        <w:tc>
          <w:tcPr>
            <w:tcW w:w="624" w:type="dxa"/>
          </w:tcPr>
          <w:p w14:paraId="107178E4" w14:textId="77777777" w:rsidR="007340C0" w:rsidRDefault="007340C0">
            <w:pPr>
              <w:pStyle w:val="TableText"/>
            </w:pPr>
          </w:p>
        </w:tc>
        <w:tc>
          <w:tcPr>
            <w:tcW w:w="5898" w:type="dxa"/>
            <w:gridSpan w:val="4"/>
          </w:tcPr>
          <w:p w14:paraId="6C378C2E" w14:textId="37C0C85D" w:rsidR="00D5176F" w:rsidRPr="00D5176F" w:rsidRDefault="007340C0" w:rsidP="00756B7F">
            <w:pPr>
              <w:pStyle w:val="TableBlock"/>
              <w:rPr>
                <w:rtl/>
              </w:rPr>
            </w:pPr>
            <w:r>
              <w:rPr>
                <w:rFonts w:hint="cs"/>
                <w:rtl/>
              </w:rPr>
              <w:t>"(ג1) הורה בית המשפט על העברת הכספים לקרן שהוקמה מכוח סעיף 27א,</w:t>
            </w:r>
            <w:r w:rsidR="00D5176F">
              <w:rPr>
                <w:rFonts w:hint="cs"/>
                <w:rtl/>
              </w:rPr>
              <w:t xml:space="preserve"> ייעד בית המשפט </w:t>
            </w:r>
            <w:r w:rsidR="00D5176F" w:rsidRPr="00D5176F">
              <w:rPr>
                <w:rtl/>
              </w:rPr>
              <w:t xml:space="preserve">את הכספים לתחום הקרוב לנושא התובענה הייצוגית שהוגשה; נוכח בית המשפט כי </w:t>
            </w:r>
            <w:r w:rsidR="00A300B7">
              <w:rPr>
                <w:rFonts w:hint="cs"/>
                <w:rtl/>
              </w:rPr>
              <w:t>הייעוד</w:t>
            </w:r>
            <w:r w:rsidR="00D5176F" w:rsidRPr="00D5176F">
              <w:rPr>
                <w:rtl/>
              </w:rPr>
              <w:t xml:space="preserve"> לתחום קרוב כאמור </w:t>
            </w:r>
            <w:r w:rsidR="00A300B7">
              <w:rPr>
                <w:rFonts w:hint="cs"/>
                <w:rtl/>
              </w:rPr>
              <w:t>אינו מתאים</w:t>
            </w:r>
            <w:r w:rsidR="002C35CA" w:rsidRPr="00D5176F">
              <w:rPr>
                <w:rtl/>
              </w:rPr>
              <w:t xml:space="preserve"> </w:t>
            </w:r>
            <w:r w:rsidR="00D5176F" w:rsidRPr="00D5176F">
              <w:rPr>
                <w:rtl/>
              </w:rPr>
              <w:t xml:space="preserve">בנסיבות העניין, רשאי הוא </w:t>
            </w:r>
            <w:r w:rsidR="0071058D">
              <w:rPr>
                <w:rFonts w:hint="cs"/>
                <w:rtl/>
              </w:rPr>
              <w:t>לייעד את הכספים  למטרה הנכללת ברשימת המטרות שתפרסם הקרן מעת לעת</w:t>
            </w:r>
            <w:r w:rsidR="0071058D" w:rsidRPr="00E10775">
              <w:rPr>
                <w:rFonts w:hint="cs"/>
                <w:rtl/>
              </w:rPr>
              <w:t>.</w:t>
            </w:r>
            <w:r w:rsidR="00756B7F">
              <w:rPr>
                <w:rFonts w:hint="cs"/>
                <w:rtl/>
              </w:rPr>
              <w:t>".</w:t>
            </w:r>
          </w:p>
        </w:tc>
      </w:tr>
      <w:tr w:rsidR="00520E16" w14:paraId="23F50180" w14:textId="77777777">
        <w:trPr>
          <w:cantSplit/>
          <w:trHeight w:val="60"/>
        </w:trPr>
        <w:tc>
          <w:tcPr>
            <w:tcW w:w="1871" w:type="dxa"/>
          </w:tcPr>
          <w:p w14:paraId="590C27D9" w14:textId="29AB7DE8" w:rsidR="00520E16" w:rsidRDefault="00520E16" w:rsidP="007E751D">
            <w:pPr>
              <w:pStyle w:val="TableSideHeading"/>
              <w:keepLines w:val="0"/>
            </w:pPr>
            <w:r>
              <w:rPr>
                <w:rFonts w:hint="cs"/>
                <w:rtl/>
              </w:rPr>
              <w:t>תיקון סעיף 21</w:t>
            </w:r>
          </w:p>
        </w:tc>
        <w:tc>
          <w:tcPr>
            <w:tcW w:w="624" w:type="dxa"/>
          </w:tcPr>
          <w:p w14:paraId="42618AA5" w14:textId="77777777" w:rsidR="00520E16" w:rsidRDefault="00520E16" w:rsidP="00461E2C">
            <w:pPr>
              <w:pStyle w:val="TableText"/>
              <w:keepLines w:val="0"/>
              <w:numPr>
                <w:ilvl w:val="0"/>
                <w:numId w:val="2"/>
              </w:numPr>
            </w:pPr>
          </w:p>
        </w:tc>
        <w:tc>
          <w:tcPr>
            <w:tcW w:w="7146" w:type="dxa"/>
            <w:gridSpan w:val="6"/>
          </w:tcPr>
          <w:p w14:paraId="3310BB7A" w14:textId="65272559" w:rsidR="00520E16" w:rsidRPr="00C34DE2" w:rsidRDefault="00520E16" w:rsidP="007E751D">
            <w:pPr>
              <w:pStyle w:val="TableBlock"/>
              <w:keepLines w:val="0"/>
            </w:pPr>
            <w:r>
              <w:rPr>
                <w:rFonts w:hint="cs"/>
                <w:rtl/>
              </w:rPr>
              <w:t>במקום סעיף 21 לחוק העיקרי יבוא:</w:t>
            </w:r>
          </w:p>
        </w:tc>
      </w:tr>
      <w:tr w:rsidR="00520E16" w14:paraId="5FB84ED9" w14:textId="77777777">
        <w:trPr>
          <w:cantSplit/>
          <w:trHeight w:val="60"/>
        </w:trPr>
        <w:tc>
          <w:tcPr>
            <w:tcW w:w="1871" w:type="dxa"/>
          </w:tcPr>
          <w:p w14:paraId="29D0A84A" w14:textId="77777777" w:rsidR="00520E16" w:rsidRDefault="00520E16">
            <w:pPr>
              <w:pStyle w:val="TableSideHeading"/>
              <w:keepLines w:val="0"/>
            </w:pPr>
          </w:p>
        </w:tc>
        <w:tc>
          <w:tcPr>
            <w:tcW w:w="624" w:type="dxa"/>
          </w:tcPr>
          <w:p w14:paraId="44D4FA5F" w14:textId="77777777" w:rsidR="00520E16" w:rsidRDefault="00520E16">
            <w:pPr>
              <w:pStyle w:val="TableText"/>
              <w:keepLines w:val="0"/>
            </w:pPr>
          </w:p>
        </w:tc>
        <w:tc>
          <w:tcPr>
            <w:tcW w:w="1872" w:type="dxa"/>
            <w:gridSpan w:val="3"/>
          </w:tcPr>
          <w:p w14:paraId="3995E009" w14:textId="664068B0" w:rsidR="00520E16" w:rsidRDefault="00520E16">
            <w:pPr>
              <w:pStyle w:val="TableInnerSideHeading"/>
            </w:pPr>
            <w:r>
              <w:rPr>
                <w:rFonts w:hint="cs"/>
                <w:rtl/>
              </w:rPr>
              <w:t xml:space="preserve">"סעד של השבה בתובענה ייצוגית נגד רשות </w:t>
            </w:r>
            <w:r>
              <w:rPr>
                <w:rtl/>
              </w:rPr>
              <w:t>–</w:t>
            </w:r>
            <w:r>
              <w:rPr>
                <w:rFonts w:hint="cs"/>
                <w:rtl/>
              </w:rPr>
              <w:t xml:space="preserve"> הוראות מיוחדות</w:t>
            </w:r>
          </w:p>
        </w:tc>
        <w:tc>
          <w:tcPr>
            <w:tcW w:w="624" w:type="dxa"/>
          </w:tcPr>
          <w:p w14:paraId="45C084B9" w14:textId="3D83E40E" w:rsidR="00520E16" w:rsidRDefault="00520E16">
            <w:pPr>
              <w:pStyle w:val="TableText"/>
            </w:pPr>
            <w:r>
              <w:rPr>
                <w:rFonts w:hint="cs"/>
                <w:rtl/>
              </w:rPr>
              <w:t>21</w:t>
            </w:r>
          </w:p>
        </w:tc>
        <w:tc>
          <w:tcPr>
            <w:tcW w:w="4650" w:type="dxa"/>
            <w:gridSpan w:val="2"/>
          </w:tcPr>
          <w:p w14:paraId="05B083AE" w14:textId="67ABAD2C" w:rsidR="00520E16" w:rsidRDefault="00520E16" w:rsidP="00C57EB2">
            <w:pPr>
              <w:pStyle w:val="TableBlock"/>
              <w:numPr>
                <w:ilvl w:val="0"/>
                <w:numId w:val="19"/>
              </w:numPr>
              <w:tabs>
                <w:tab w:val="left" w:pos="624"/>
              </w:tabs>
            </w:pPr>
            <w:r>
              <w:rPr>
                <w:rFonts w:hint="cs"/>
                <w:rtl/>
              </w:rPr>
              <w:t>הכריע</w:t>
            </w:r>
            <w:r w:rsidRPr="00520E16">
              <w:rPr>
                <w:rtl/>
              </w:rPr>
              <w:t xml:space="preserve"> בית המשפט בתובענה ייצוגית בתביעת </w:t>
            </w:r>
            <w:r w:rsidRPr="00520E16">
              <w:rPr>
                <w:sz w:val="26"/>
                <w:rtl/>
              </w:rPr>
              <w:t xml:space="preserve">השבה נגד רשות, כי הרשות גבתה שלא כדין, לא </w:t>
            </w:r>
            <w:r w:rsidRPr="00520E16">
              <w:rPr>
                <w:rFonts w:hint="eastAsia"/>
                <w:sz w:val="26"/>
                <w:rtl/>
              </w:rPr>
              <w:t>יחייב</w:t>
            </w:r>
            <w:r w:rsidRPr="00520E16">
              <w:rPr>
                <w:sz w:val="26"/>
                <w:rtl/>
              </w:rPr>
              <w:t xml:space="preserve"> את הרשות, לגבי אותה עילה, בהשב</w:t>
            </w:r>
            <w:r w:rsidRPr="00520E16">
              <w:rPr>
                <w:rFonts w:hint="eastAsia"/>
                <w:sz w:val="26"/>
                <w:rtl/>
              </w:rPr>
              <w:t>ת</w:t>
            </w:r>
            <w:r w:rsidRPr="00520E16">
              <w:rPr>
                <w:sz w:val="26"/>
                <w:rtl/>
              </w:rPr>
              <w:t xml:space="preserve"> סכו</w:t>
            </w:r>
            <w:r w:rsidRPr="00520E16">
              <w:rPr>
                <w:rFonts w:hint="eastAsia"/>
                <w:sz w:val="26"/>
                <w:rtl/>
              </w:rPr>
              <w:t>ם</w:t>
            </w:r>
            <w:r w:rsidRPr="00520E16">
              <w:rPr>
                <w:sz w:val="26"/>
                <w:rtl/>
              </w:rPr>
              <w:t xml:space="preserve"> העו</w:t>
            </w:r>
            <w:r w:rsidRPr="00520E16">
              <w:rPr>
                <w:rFonts w:hint="eastAsia"/>
                <w:sz w:val="26"/>
                <w:rtl/>
              </w:rPr>
              <w:t>לה</w:t>
            </w:r>
            <w:r w:rsidRPr="00520E16">
              <w:rPr>
                <w:sz w:val="26"/>
                <w:rtl/>
              </w:rPr>
              <w:t xml:space="preserve"> על </w:t>
            </w:r>
            <w:r w:rsidRPr="00520E16">
              <w:rPr>
                <w:rFonts w:hint="eastAsia"/>
                <w:sz w:val="26"/>
                <w:rtl/>
              </w:rPr>
              <w:t>ה</w:t>
            </w:r>
            <w:r w:rsidRPr="00520E16">
              <w:rPr>
                <w:sz w:val="26"/>
                <w:rtl/>
              </w:rPr>
              <w:t xml:space="preserve">סכום שגבתה הרשות כאמור במהלך תקופה של </w:t>
            </w:r>
            <w:r w:rsidRPr="00520E16">
              <w:rPr>
                <w:rFonts w:ascii="David" w:hAnsi="David"/>
                <w:sz w:val="26"/>
              </w:rPr>
              <w:t>24</w:t>
            </w:r>
            <w:r w:rsidRPr="00520E16">
              <w:rPr>
                <w:sz w:val="26"/>
                <w:rtl/>
              </w:rPr>
              <w:t xml:space="preserve"> חודשים שקדמו למועד שבו הוגשה הבקשה לאישור</w:t>
            </w:r>
            <w:r w:rsidRPr="00520E16">
              <w:rPr>
                <w:rtl/>
              </w:rPr>
              <w:t>.</w:t>
            </w:r>
          </w:p>
        </w:tc>
      </w:tr>
      <w:tr w:rsidR="00520E16" w14:paraId="5B2A9B1C" w14:textId="77777777">
        <w:trPr>
          <w:cantSplit/>
          <w:trHeight w:val="60"/>
        </w:trPr>
        <w:tc>
          <w:tcPr>
            <w:tcW w:w="1871" w:type="dxa"/>
          </w:tcPr>
          <w:p w14:paraId="7C079571" w14:textId="77777777" w:rsidR="00520E16" w:rsidRDefault="00520E16">
            <w:pPr>
              <w:pStyle w:val="TableSideHeading"/>
            </w:pPr>
          </w:p>
        </w:tc>
        <w:tc>
          <w:tcPr>
            <w:tcW w:w="624" w:type="dxa"/>
          </w:tcPr>
          <w:p w14:paraId="49FD1187" w14:textId="77777777" w:rsidR="00520E16" w:rsidRDefault="00520E16">
            <w:pPr>
              <w:pStyle w:val="TableText"/>
            </w:pPr>
          </w:p>
        </w:tc>
        <w:tc>
          <w:tcPr>
            <w:tcW w:w="624" w:type="dxa"/>
          </w:tcPr>
          <w:p w14:paraId="0C963D17" w14:textId="77777777" w:rsidR="00520E16" w:rsidRDefault="00520E16">
            <w:pPr>
              <w:pStyle w:val="TableText"/>
            </w:pPr>
          </w:p>
        </w:tc>
        <w:tc>
          <w:tcPr>
            <w:tcW w:w="624" w:type="dxa"/>
          </w:tcPr>
          <w:p w14:paraId="7AB2550C" w14:textId="77777777" w:rsidR="00520E16" w:rsidRDefault="00520E16">
            <w:pPr>
              <w:pStyle w:val="TableText"/>
            </w:pPr>
          </w:p>
        </w:tc>
        <w:tc>
          <w:tcPr>
            <w:tcW w:w="624" w:type="dxa"/>
          </w:tcPr>
          <w:p w14:paraId="2675A852" w14:textId="77777777" w:rsidR="00520E16" w:rsidRDefault="00520E16">
            <w:pPr>
              <w:pStyle w:val="TableText"/>
            </w:pPr>
          </w:p>
        </w:tc>
        <w:tc>
          <w:tcPr>
            <w:tcW w:w="624" w:type="dxa"/>
          </w:tcPr>
          <w:p w14:paraId="0AC7081E" w14:textId="77777777" w:rsidR="00520E16" w:rsidRDefault="00520E16">
            <w:pPr>
              <w:pStyle w:val="TableText"/>
            </w:pPr>
          </w:p>
        </w:tc>
        <w:tc>
          <w:tcPr>
            <w:tcW w:w="4650" w:type="dxa"/>
            <w:gridSpan w:val="2"/>
          </w:tcPr>
          <w:p w14:paraId="108F0E77" w14:textId="404335F6" w:rsidR="00520E16" w:rsidRDefault="00520E16" w:rsidP="00C57EB2">
            <w:pPr>
              <w:pStyle w:val="TableBlock"/>
              <w:numPr>
                <w:ilvl w:val="0"/>
                <w:numId w:val="19"/>
              </w:numPr>
              <w:tabs>
                <w:tab w:val="left" w:pos="624"/>
              </w:tabs>
            </w:pPr>
            <w:r w:rsidRPr="00520E16">
              <w:rPr>
                <w:rFonts w:hint="eastAsia"/>
                <w:sz w:val="26"/>
                <w:rtl/>
              </w:rPr>
              <w:t>על</w:t>
            </w:r>
            <w:r w:rsidRPr="00520E16">
              <w:rPr>
                <w:sz w:val="26"/>
                <w:rtl/>
              </w:rPr>
              <w:t xml:space="preserve"> אף האמור בסעיף קטן (א), רשאי בית המשפט בהכרעתו, לחייב את הרשות להשיב, בנוסף לסכום כאמור בסעיף קטן (א), גם את הסכום שגבתה הרשות במהלך התקופה החלה ממועד אישור התובענה הייצוגית, אם הרשות לא הודיעה בתוך 60 ימים מיום שהומצאה אליה ההחלטה על האישור כאמור כי היא הפסיקה את הגביה שבשלה הוגשה הבקשה לאישור</w:t>
            </w:r>
            <w:r w:rsidRPr="00520E16">
              <w:rPr>
                <w:rFonts w:hint="cs"/>
                <w:sz w:val="26"/>
                <w:rtl/>
              </w:rPr>
              <w:t>.</w:t>
            </w:r>
          </w:p>
        </w:tc>
      </w:tr>
      <w:tr w:rsidR="00520E16" w14:paraId="19C3C6E1" w14:textId="77777777">
        <w:trPr>
          <w:cantSplit/>
          <w:trHeight w:val="60"/>
        </w:trPr>
        <w:tc>
          <w:tcPr>
            <w:tcW w:w="1871" w:type="dxa"/>
          </w:tcPr>
          <w:p w14:paraId="06B61670" w14:textId="77777777" w:rsidR="00520E16" w:rsidRDefault="00520E16">
            <w:pPr>
              <w:pStyle w:val="TableSideHeading"/>
            </w:pPr>
          </w:p>
        </w:tc>
        <w:tc>
          <w:tcPr>
            <w:tcW w:w="624" w:type="dxa"/>
          </w:tcPr>
          <w:p w14:paraId="12878CF9" w14:textId="77777777" w:rsidR="00520E16" w:rsidRDefault="00520E16" w:rsidP="00520E16">
            <w:pPr>
              <w:pStyle w:val="TableText"/>
            </w:pPr>
          </w:p>
        </w:tc>
        <w:tc>
          <w:tcPr>
            <w:tcW w:w="624" w:type="dxa"/>
          </w:tcPr>
          <w:p w14:paraId="7537EE77" w14:textId="77777777" w:rsidR="00520E16" w:rsidRDefault="00520E16">
            <w:pPr>
              <w:pStyle w:val="TableText"/>
            </w:pPr>
          </w:p>
        </w:tc>
        <w:tc>
          <w:tcPr>
            <w:tcW w:w="624" w:type="dxa"/>
          </w:tcPr>
          <w:p w14:paraId="7DC44C67" w14:textId="77777777" w:rsidR="00520E16" w:rsidRDefault="00520E16">
            <w:pPr>
              <w:pStyle w:val="TableText"/>
            </w:pPr>
          </w:p>
        </w:tc>
        <w:tc>
          <w:tcPr>
            <w:tcW w:w="624" w:type="dxa"/>
          </w:tcPr>
          <w:p w14:paraId="6EB41150" w14:textId="77777777" w:rsidR="00520E16" w:rsidRDefault="00520E16">
            <w:pPr>
              <w:pStyle w:val="TableText"/>
            </w:pPr>
          </w:p>
        </w:tc>
        <w:tc>
          <w:tcPr>
            <w:tcW w:w="624" w:type="dxa"/>
          </w:tcPr>
          <w:p w14:paraId="0D091AAF" w14:textId="77777777" w:rsidR="00520E16" w:rsidRDefault="00520E16">
            <w:pPr>
              <w:pStyle w:val="TableText"/>
            </w:pPr>
          </w:p>
        </w:tc>
        <w:tc>
          <w:tcPr>
            <w:tcW w:w="4650" w:type="dxa"/>
            <w:gridSpan w:val="2"/>
          </w:tcPr>
          <w:p w14:paraId="31515F5A" w14:textId="4CDAFC80" w:rsidR="00520E16" w:rsidRPr="00520E16" w:rsidRDefault="00520E16" w:rsidP="00C57EB2">
            <w:pPr>
              <w:pStyle w:val="TableBlock"/>
              <w:numPr>
                <w:ilvl w:val="0"/>
                <w:numId w:val="19"/>
              </w:numPr>
              <w:tabs>
                <w:tab w:val="left" w:pos="624"/>
              </w:tabs>
              <w:rPr>
                <w:sz w:val="26"/>
                <w:rtl/>
              </w:rPr>
            </w:pPr>
            <w:r w:rsidRPr="00520E16">
              <w:rPr>
                <w:rFonts w:hint="eastAsia"/>
                <w:sz w:val="26"/>
                <w:rtl/>
              </w:rPr>
              <w:t>על</w:t>
            </w:r>
            <w:r w:rsidRPr="00520E16">
              <w:rPr>
                <w:sz w:val="26"/>
                <w:rtl/>
              </w:rPr>
              <w:t xml:space="preserve"> אף הוראות סעיף 10(א) ו-(ב)</w:t>
            </w:r>
            <w:r w:rsidRPr="00520E16">
              <w:rPr>
                <w:rFonts w:hint="cs"/>
                <w:sz w:val="26"/>
                <w:rtl/>
              </w:rPr>
              <w:t xml:space="preserve"> רישה</w:t>
            </w:r>
            <w:r w:rsidRPr="00520E16">
              <w:rPr>
                <w:sz w:val="26"/>
                <w:rtl/>
              </w:rPr>
              <w:t xml:space="preserve">, </w:t>
            </w:r>
            <w:r w:rsidRPr="00520E16">
              <w:rPr>
                <w:rFonts w:hint="cs"/>
                <w:sz w:val="26"/>
                <w:rtl/>
              </w:rPr>
              <w:t>בתובענה ייצוגית בתביעת השבה נגד רשות, יחולו הוראות אלה לעניין הגדרת הקבוצה:</w:t>
            </w:r>
          </w:p>
        </w:tc>
      </w:tr>
      <w:tr w:rsidR="00520E16" w14:paraId="60290D0E" w14:textId="77777777">
        <w:trPr>
          <w:cantSplit/>
          <w:trHeight w:val="60"/>
        </w:trPr>
        <w:tc>
          <w:tcPr>
            <w:tcW w:w="1871" w:type="dxa"/>
          </w:tcPr>
          <w:p w14:paraId="386D59C8" w14:textId="77777777" w:rsidR="00520E16" w:rsidRDefault="00520E16">
            <w:pPr>
              <w:pStyle w:val="TableSideHeading"/>
            </w:pPr>
          </w:p>
        </w:tc>
        <w:tc>
          <w:tcPr>
            <w:tcW w:w="624" w:type="dxa"/>
          </w:tcPr>
          <w:p w14:paraId="561A2E17" w14:textId="77777777" w:rsidR="00520E16" w:rsidRDefault="00520E16">
            <w:pPr>
              <w:pStyle w:val="TableText"/>
            </w:pPr>
          </w:p>
        </w:tc>
        <w:tc>
          <w:tcPr>
            <w:tcW w:w="624" w:type="dxa"/>
          </w:tcPr>
          <w:p w14:paraId="4566F96E" w14:textId="77777777" w:rsidR="00520E16" w:rsidRDefault="00520E16">
            <w:pPr>
              <w:pStyle w:val="TableText"/>
            </w:pPr>
          </w:p>
        </w:tc>
        <w:tc>
          <w:tcPr>
            <w:tcW w:w="624" w:type="dxa"/>
          </w:tcPr>
          <w:p w14:paraId="1A7BB8F8" w14:textId="77777777" w:rsidR="00520E16" w:rsidRDefault="00520E16">
            <w:pPr>
              <w:pStyle w:val="TableText"/>
            </w:pPr>
          </w:p>
        </w:tc>
        <w:tc>
          <w:tcPr>
            <w:tcW w:w="624" w:type="dxa"/>
          </w:tcPr>
          <w:p w14:paraId="1773CAED" w14:textId="77777777" w:rsidR="00520E16" w:rsidRDefault="00520E16">
            <w:pPr>
              <w:pStyle w:val="TableText"/>
            </w:pPr>
          </w:p>
        </w:tc>
        <w:tc>
          <w:tcPr>
            <w:tcW w:w="624" w:type="dxa"/>
          </w:tcPr>
          <w:p w14:paraId="503CAEDA" w14:textId="77777777" w:rsidR="00520E16" w:rsidRDefault="00520E16">
            <w:pPr>
              <w:pStyle w:val="TableText"/>
            </w:pPr>
          </w:p>
        </w:tc>
        <w:tc>
          <w:tcPr>
            <w:tcW w:w="624" w:type="dxa"/>
          </w:tcPr>
          <w:p w14:paraId="430CC959" w14:textId="77777777" w:rsidR="00520E16" w:rsidRDefault="00520E16">
            <w:pPr>
              <w:pStyle w:val="TableText"/>
            </w:pPr>
          </w:p>
        </w:tc>
        <w:tc>
          <w:tcPr>
            <w:tcW w:w="4026" w:type="dxa"/>
          </w:tcPr>
          <w:p w14:paraId="5C95213D" w14:textId="2D44FE36" w:rsidR="00520E16" w:rsidRDefault="00520E16" w:rsidP="00C57EB2">
            <w:pPr>
              <w:pStyle w:val="TableBlock"/>
              <w:numPr>
                <w:ilvl w:val="0"/>
                <w:numId w:val="20"/>
              </w:numPr>
              <w:tabs>
                <w:tab w:val="left" w:pos="624"/>
              </w:tabs>
            </w:pPr>
            <w:r w:rsidRPr="00520E16">
              <w:rPr>
                <w:rFonts w:hint="cs"/>
                <w:sz w:val="26"/>
                <w:rtl/>
              </w:rPr>
              <w:t xml:space="preserve">אישר בית המשפט את התובענה, יגדיר בהחלטתו כי הקבוצה שבשמה תנוהל התובענה תכלול רק את מי </w:t>
            </w:r>
            <w:r w:rsidRPr="00520E16">
              <w:rPr>
                <w:rFonts w:hint="eastAsia"/>
                <w:sz w:val="26"/>
                <w:rtl/>
              </w:rPr>
              <w:t>שממנו</w:t>
            </w:r>
            <w:r w:rsidRPr="00520E16">
              <w:rPr>
                <w:sz w:val="26"/>
                <w:rtl/>
              </w:rPr>
              <w:t xml:space="preserve"> </w:t>
            </w:r>
            <w:r w:rsidRPr="00520E16">
              <w:rPr>
                <w:rFonts w:hint="eastAsia"/>
                <w:sz w:val="26"/>
                <w:rtl/>
              </w:rPr>
              <w:t>גבתה</w:t>
            </w:r>
            <w:r w:rsidRPr="00520E16">
              <w:rPr>
                <w:sz w:val="26"/>
                <w:rtl/>
              </w:rPr>
              <w:t xml:space="preserve"> </w:t>
            </w:r>
            <w:r w:rsidRPr="00520E16">
              <w:rPr>
                <w:rFonts w:hint="eastAsia"/>
                <w:sz w:val="26"/>
                <w:rtl/>
              </w:rPr>
              <w:t>הרשות</w:t>
            </w:r>
            <w:r w:rsidRPr="00520E16">
              <w:rPr>
                <w:sz w:val="26"/>
                <w:rtl/>
              </w:rPr>
              <w:t xml:space="preserve"> </w:t>
            </w:r>
            <w:r w:rsidRPr="00520E16">
              <w:rPr>
                <w:rFonts w:hint="eastAsia"/>
                <w:sz w:val="26"/>
                <w:rtl/>
              </w:rPr>
              <w:t>סכומים</w:t>
            </w:r>
            <w:r w:rsidRPr="00520E16">
              <w:rPr>
                <w:sz w:val="26"/>
                <w:rtl/>
              </w:rPr>
              <w:t xml:space="preserve"> </w:t>
            </w:r>
            <w:r w:rsidRPr="00520E16">
              <w:rPr>
                <w:rFonts w:hint="eastAsia"/>
                <w:sz w:val="26"/>
                <w:rtl/>
              </w:rPr>
              <w:t>בתקופה</w:t>
            </w:r>
            <w:r w:rsidRPr="00520E16">
              <w:rPr>
                <w:sz w:val="26"/>
                <w:rtl/>
              </w:rPr>
              <w:t xml:space="preserve"> </w:t>
            </w:r>
            <w:r w:rsidRPr="00520E16">
              <w:rPr>
                <w:rFonts w:hint="eastAsia"/>
                <w:sz w:val="26"/>
                <w:rtl/>
              </w:rPr>
              <w:t>המנויה</w:t>
            </w:r>
            <w:r w:rsidRPr="00520E16">
              <w:rPr>
                <w:sz w:val="26"/>
                <w:rtl/>
              </w:rPr>
              <w:t xml:space="preserve"> </w:t>
            </w:r>
            <w:r w:rsidRPr="00520E16">
              <w:rPr>
                <w:rFonts w:hint="eastAsia"/>
                <w:sz w:val="26"/>
                <w:rtl/>
              </w:rPr>
              <w:t>בסעיף</w:t>
            </w:r>
            <w:r w:rsidRPr="00520E16">
              <w:rPr>
                <w:sz w:val="26"/>
                <w:rtl/>
              </w:rPr>
              <w:t xml:space="preserve"> </w:t>
            </w:r>
            <w:r w:rsidRPr="00520E16">
              <w:rPr>
                <w:rFonts w:hint="eastAsia"/>
                <w:sz w:val="26"/>
                <w:rtl/>
              </w:rPr>
              <w:t>קטן</w:t>
            </w:r>
            <w:r w:rsidRPr="00520E16">
              <w:rPr>
                <w:sz w:val="26"/>
                <w:rtl/>
              </w:rPr>
              <w:t xml:space="preserve"> (א);</w:t>
            </w:r>
          </w:p>
        </w:tc>
      </w:tr>
      <w:tr w:rsidR="00520E16" w14:paraId="6263E1F5" w14:textId="77777777">
        <w:trPr>
          <w:cantSplit/>
          <w:trHeight w:val="60"/>
        </w:trPr>
        <w:tc>
          <w:tcPr>
            <w:tcW w:w="1871" w:type="dxa"/>
          </w:tcPr>
          <w:p w14:paraId="44195E79" w14:textId="77777777" w:rsidR="00520E16" w:rsidRDefault="00520E16">
            <w:pPr>
              <w:pStyle w:val="TableSideHeading"/>
            </w:pPr>
          </w:p>
        </w:tc>
        <w:tc>
          <w:tcPr>
            <w:tcW w:w="624" w:type="dxa"/>
          </w:tcPr>
          <w:p w14:paraId="1C4A2698" w14:textId="77777777" w:rsidR="00520E16" w:rsidRDefault="00520E16" w:rsidP="00520E16">
            <w:pPr>
              <w:pStyle w:val="TableText"/>
            </w:pPr>
          </w:p>
        </w:tc>
        <w:tc>
          <w:tcPr>
            <w:tcW w:w="624" w:type="dxa"/>
          </w:tcPr>
          <w:p w14:paraId="63B75881" w14:textId="77777777" w:rsidR="00520E16" w:rsidRDefault="00520E16">
            <w:pPr>
              <w:pStyle w:val="TableText"/>
            </w:pPr>
          </w:p>
        </w:tc>
        <w:tc>
          <w:tcPr>
            <w:tcW w:w="624" w:type="dxa"/>
          </w:tcPr>
          <w:p w14:paraId="0BCB2B0D" w14:textId="77777777" w:rsidR="00520E16" w:rsidRDefault="00520E16">
            <w:pPr>
              <w:pStyle w:val="TableText"/>
            </w:pPr>
          </w:p>
        </w:tc>
        <w:tc>
          <w:tcPr>
            <w:tcW w:w="624" w:type="dxa"/>
          </w:tcPr>
          <w:p w14:paraId="0C3F5191" w14:textId="77777777" w:rsidR="00520E16" w:rsidRDefault="00520E16">
            <w:pPr>
              <w:pStyle w:val="TableText"/>
            </w:pPr>
          </w:p>
        </w:tc>
        <w:tc>
          <w:tcPr>
            <w:tcW w:w="624" w:type="dxa"/>
          </w:tcPr>
          <w:p w14:paraId="7428D1DC" w14:textId="77777777" w:rsidR="00520E16" w:rsidRDefault="00520E16">
            <w:pPr>
              <w:pStyle w:val="TableText"/>
            </w:pPr>
          </w:p>
        </w:tc>
        <w:tc>
          <w:tcPr>
            <w:tcW w:w="624" w:type="dxa"/>
          </w:tcPr>
          <w:p w14:paraId="5D07C8E0" w14:textId="77777777" w:rsidR="00520E16" w:rsidRDefault="00520E16">
            <w:pPr>
              <w:pStyle w:val="TableText"/>
            </w:pPr>
          </w:p>
        </w:tc>
        <w:tc>
          <w:tcPr>
            <w:tcW w:w="4026" w:type="dxa"/>
          </w:tcPr>
          <w:p w14:paraId="0EB21F35" w14:textId="73938099" w:rsidR="00520E16" w:rsidRPr="00520E16" w:rsidRDefault="00520E16" w:rsidP="00C57EB2">
            <w:pPr>
              <w:pStyle w:val="TableBlock"/>
              <w:numPr>
                <w:ilvl w:val="0"/>
                <w:numId w:val="20"/>
              </w:numPr>
              <w:tabs>
                <w:tab w:val="left" w:pos="624"/>
              </w:tabs>
              <w:rPr>
                <w:sz w:val="26"/>
                <w:rtl/>
              </w:rPr>
            </w:pPr>
            <w:r w:rsidRPr="00520E16">
              <w:rPr>
                <w:rFonts w:hint="cs"/>
                <w:sz w:val="26"/>
                <w:rtl/>
              </w:rPr>
              <w:t xml:space="preserve">על אף הוראת פסקה (1), מצא בית המשפט כי הרשות לא הפסיקה את הגביה כאמור בסעיף קטן (ב) יצרף לקבוצה גם את מי שממנו גבתה הרשות סכומים </w:t>
            </w:r>
            <w:r w:rsidRPr="00520E16">
              <w:rPr>
                <w:rFonts w:hint="eastAsia"/>
                <w:sz w:val="26"/>
                <w:rtl/>
              </w:rPr>
              <w:t>בתקופה</w:t>
            </w:r>
            <w:r w:rsidRPr="00520E16">
              <w:rPr>
                <w:sz w:val="26"/>
                <w:rtl/>
              </w:rPr>
              <w:t xml:space="preserve"> </w:t>
            </w:r>
            <w:r w:rsidRPr="00520E16">
              <w:rPr>
                <w:rFonts w:hint="eastAsia"/>
                <w:sz w:val="26"/>
                <w:rtl/>
              </w:rPr>
              <w:t>המנויה</w:t>
            </w:r>
            <w:r w:rsidRPr="00520E16">
              <w:rPr>
                <w:sz w:val="26"/>
                <w:rtl/>
              </w:rPr>
              <w:t xml:space="preserve"> </w:t>
            </w:r>
            <w:r w:rsidRPr="00520E16">
              <w:rPr>
                <w:rFonts w:hint="eastAsia"/>
                <w:sz w:val="26"/>
                <w:rtl/>
              </w:rPr>
              <w:t>בסעיף</w:t>
            </w:r>
            <w:r w:rsidRPr="00520E16">
              <w:rPr>
                <w:sz w:val="26"/>
                <w:rtl/>
              </w:rPr>
              <w:t xml:space="preserve"> </w:t>
            </w:r>
            <w:r w:rsidRPr="00520E16">
              <w:rPr>
                <w:rFonts w:hint="eastAsia"/>
                <w:sz w:val="26"/>
                <w:rtl/>
              </w:rPr>
              <w:t>קטן</w:t>
            </w:r>
            <w:r w:rsidRPr="00520E16">
              <w:rPr>
                <w:sz w:val="26"/>
                <w:rtl/>
              </w:rPr>
              <w:t xml:space="preserve"> (ב).</w:t>
            </w:r>
          </w:p>
        </w:tc>
      </w:tr>
      <w:tr w:rsidR="00520E16" w14:paraId="3594D111" w14:textId="77777777">
        <w:trPr>
          <w:cantSplit/>
          <w:trHeight w:val="60"/>
        </w:trPr>
        <w:tc>
          <w:tcPr>
            <w:tcW w:w="1871" w:type="dxa"/>
          </w:tcPr>
          <w:p w14:paraId="5ED37C88" w14:textId="77777777" w:rsidR="00520E16" w:rsidRDefault="00520E16">
            <w:pPr>
              <w:pStyle w:val="TableSideHeading"/>
            </w:pPr>
          </w:p>
        </w:tc>
        <w:tc>
          <w:tcPr>
            <w:tcW w:w="624" w:type="dxa"/>
          </w:tcPr>
          <w:p w14:paraId="725D5A46" w14:textId="77777777" w:rsidR="00520E16" w:rsidRDefault="00520E16">
            <w:pPr>
              <w:pStyle w:val="TableText"/>
            </w:pPr>
          </w:p>
        </w:tc>
        <w:tc>
          <w:tcPr>
            <w:tcW w:w="624" w:type="dxa"/>
          </w:tcPr>
          <w:p w14:paraId="025D2CB7" w14:textId="77777777" w:rsidR="00520E16" w:rsidRDefault="00520E16">
            <w:pPr>
              <w:pStyle w:val="TableText"/>
            </w:pPr>
          </w:p>
        </w:tc>
        <w:tc>
          <w:tcPr>
            <w:tcW w:w="624" w:type="dxa"/>
          </w:tcPr>
          <w:p w14:paraId="4B891091" w14:textId="77777777" w:rsidR="00520E16" w:rsidRDefault="00520E16">
            <w:pPr>
              <w:pStyle w:val="TableText"/>
            </w:pPr>
          </w:p>
        </w:tc>
        <w:tc>
          <w:tcPr>
            <w:tcW w:w="624" w:type="dxa"/>
          </w:tcPr>
          <w:p w14:paraId="644D6B55" w14:textId="77777777" w:rsidR="00520E16" w:rsidRDefault="00520E16">
            <w:pPr>
              <w:pStyle w:val="TableText"/>
            </w:pPr>
          </w:p>
        </w:tc>
        <w:tc>
          <w:tcPr>
            <w:tcW w:w="624" w:type="dxa"/>
          </w:tcPr>
          <w:p w14:paraId="091B98DD" w14:textId="77777777" w:rsidR="00520E16" w:rsidRDefault="00520E16">
            <w:pPr>
              <w:pStyle w:val="TableText"/>
            </w:pPr>
          </w:p>
        </w:tc>
        <w:tc>
          <w:tcPr>
            <w:tcW w:w="4650" w:type="dxa"/>
            <w:gridSpan w:val="2"/>
          </w:tcPr>
          <w:p w14:paraId="02C408DE" w14:textId="5220C338" w:rsidR="00520E16" w:rsidRDefault="00520E16" w:rsidP="00C57EB2">
            <w:pPr>
              <w:pStyle w:val="TableBlock"/>
              <w:numPr>
                <w:ilvl w:val="0"/>
                <w:numId w:val="19"/>
              </w:numPr>
              <w:tabs>
                <w:tab w:val="left" w:pos="624"/>
              </w:tabs>
            </w:pPr>
            <w:r w:rsidRPr="00520E16">
              <w:rPr>
                <w:sz w:val="26"/>
                <w:rtl/>
              </w:rPr>
              <w:t>מי שלגביו התקיימה העילה כאמור בסעי</w:t>
            </w:r>
            <w:r w:rsidRPr="00520E16">
              <w:rPr>
                <w:rFonts w:hint="eastAsia"/>
                <w:sz w:val="26"/>
                <w:rtl/>
              </w:rPr>
              <w:t>פים</w:t>
            </w:r>
            <w:r w:rsidRPr="00520E16">
              <w:rPr>
                <w:sz w:val="26"/>
                <w:rtl/>
              </w:rPr>
              <w:t xml:space="preserve"> קט</w:t>
            </w:r>
            <w:r w:rsidRPr="00520E16">
              <w:rPr>
                <w:rFonts w:hint="eastAsia"/>
                <w:sz w:val="26"/>
                <w:rtl/>
              </w:rPr>
              <w:t>נים</w:t>
            </w:r>
            <w:r w:rsidRPr="00520E16">
              <w:rPr>
                <w:sz w:val="26"/>
                <w:rtl/>
              </w:rPr>
              <w:t xml:space="preserve"> (א) ו-(ב), ונגבו ממנו סכומים בתקופות </w:t>
            </w:r>
            <w:r w:rsidR="00802A1E">
              <w:rPr>
                <w:rFonts w:hint="cs"/>
                <w:sz w:val="26"/>
                <w:rtl/>
              </w:rPr>
              <w:t xml:space="preserve">אחרות, </w:t>
            </w:r>
            <w:r w:rsidRPr="00520E16">
              <w:rPr>
                <w:sz w:val="26"/>
                <w:rtl/>
              </w:rPr>
              <w:t xml:space="preserve">שלא נכללות בתקופות </w:t>
            </w:r>
            <w:r w:rsidR="00802A1E">
              <w:rPr>
                <w:rFonts w:hint="cs"/>
                <w:sz w:val="26"/>
                <w:rtl/>
              </w:rPr>
              <w:t xml:space="preserve">המנויות </w:t>
            </w:r>
            <w:r w:rsidRPr="00520E16">
              <w:rPr>
                <w:sz w:val="26"/>
                <w:rtl/>
              </w:rPr>
              <w:t>בסעיפים קטנים אלה, בין שהיה חבר בקבוצה שבגינה הוגשה הבקשה לאישור ובין אם לא</w:t>
            </w:r>
            <w:r w:rsidRPr="00520E16">
              <w:rPr>
                <w:rFonts w:hint="eastAsia"/>
                <w:sz w:val="26"/>
                <w:rtl/>
              </w:rPr>
              <w:t>ו</w:t>
            </w:r>
            <w:r w:rsidRPr="00520E16">
              <w:rPr>
                <w:sz w:val="26"/>
                <w:rtl/>
              </w:rPr>
              <w:t xml:space="preserve">, </w:t>
            </w:r>
            <w:r w:rsidRPr="00520E16">
              <w:rPr>
                <w:rFonts w:hint="eastAsia"/>
                <w:sz w:val="26"/>
                <w:rtl/>
              </w:rPr>
              <w:t>רשאי</w:t>
            </w:r>
            <w:r w:rsidRPr="00520E16">
              <w:rPr>
                <w:sz w:val="26"/>
                <w:rtl/>
              </w:rPr>
              <w:t xml:space="preserve"> לתבוע </w:t>
            </w:r>
            <w:r w:rsidRPr="00520E16">
              <w:rPr>
                <w:rFonts w:hint="eastAsia"/>
                <w:sz w:val="26"/>
                <w:rtl/>
              </w:rPr>
              <w:t>את</w:t>
            </w:r>
            <w:r w:rsidRPr="00520E16">
              <w:rPr>
                <w:sz w:val="26"/>
                <w:rtl/>
              </w:rPr>
              <w:t xml:space="preserve"> הרשות בשל התקיימות אותה העילה באמצעות תביעה אישית בלבד.</w:t>
            </w:r>
          </w:p>
        </w:tc>
      </w:tr>
      <w:tr w:rsidR="00520E16" w14:paraId="64BBB023" w14:textId="77777777">
        <w:trPr>
          <w:cantSplit/>
          <w:trHeight w:val="60"/>
        </w:trPr>
        <w:tc>
          <w:tcPr>
            <w:tcW w:w="1871" w:type="dxa"/>
          </w:tcPr>
          <w:p w14:paraId="0C74D3B4" w14:textId="77777777" w:rsidR="00520E16" w:rsidRDefault="00520E16">
            <w:pPr>
              <w:pStyle w:val="TableSideHeading"/>
            </w:pPr>
          </w:p>
        </w:tc>
        <w:tc>
          <w:tcPr>
            <w:tcW w:w="624" w:type="dxa"/>
          </w:tcPr>
          <w:p w14:paraId="78EA53CA" w14:textId="77777777" w:rsidR="00520E16" w:rsidRDefault="00520E16" w:rsidP="00520E16">
            <w:pPr>
              <w:pStyle w:val="TableText"/>
            </w:pPr>
          </w:p>
        </w:tc>
        <w:tc>
          <w:tcPr>
            <w:tcW w:w="624" w:type="dxa"/>
          </w:tcPr>
          <w:p w14:paraId="509D5D73" w14:textId="77777777" w:rsidR="00520E16" w:rsidRDefault="00520E16">
            <w:pPr>
              <w:pStyle w:val="TableText"/>
            </w:pPr>
          </w:p>
        </w:tc>
        <w:tc>
          <w:tcPr>
            <w:tcW w:w="624" w:type="dxa"/>
          </w:tcPr>
          <w:p w14:paraId="4016E25D" w14:textId="77777777" w:rsidR="00520E16" w:rsidRDefault="00520E16">
            <w:pPr>
              <w:pStyle w:val="TableText"/>
            </w:pPr>
          </w:p>
        </w:tc>
        <w:tc>
          <w:tcPr>
            <w:tcW w:w="624" w:type="dxa"/>
          </w:tcPr>
          <w:p w14:paraId="48F6DE9B" w14:textId="77777777" w:rsidR="00520E16" w:rsidRDefault="00520E16">
            <w:pPr>
              <w:pStyle w:val="TableText"/>
            </w:pPr>
          </w:p>
        </w:tc>
        <w:tc>
          <w:tcPr>
            <w:tcW w:w="624" w:type="dxa"/>
          </w:tcPr>
          <w:p w14:paraId="41C6AB76" w14:textId="77777777" w:rsidR="00520E16" w:rsidRDefault="00520E16">
            <w:pPr>
              <w:pStyle w:val="TableText"/>
            </w:pPr>
          </w:p>
        </w:tc>
        <w:tc>
          <w:tcPr>
            <w:tcW w:w="4650" w:type="dxa"/>
            <w:gridSpan w:val="2"/>
          </w:tcPr>
          <w:p w14:paraId="7DACAED2" w14:textId="5ED96269" w:rsidR="00520E16" w:rsidRPr="00520E16" w:rsidRDefault="00520E16" w:rsidP="00C57EB2">
            <w:pPr>
              <w:pStyle w:val="TableBlock"/>
              <w:numPr>
                <w:ilvl w:val="0"/>
                <w:numId w:val="19"/>
              </w:numPr>
              <w:tabs>
                <w:tab w:val="left" w:pos="624"/>
              </w:tabs>
              <w:rPr>
                <w:sz w:val="26"/>
                <w:rtl/>
              </w:rPr>
            </w:pPr>
            <w:r w:rsidRPr="00520E16">
              <w:rPr>
                <w:rFonts w:hint="eastAsia"/>
                <w:sz w:val="26"/>
                <w:rtl/>
              </w:rPr>
              <w:t>הוראות</w:t>
            </w:r>
            <w:r w:rsidRPr="00520E16">
              <w:rPr>
                <w:sz w:val="26"/>
                <w:rtl/>
              </w:rPr>
              <w:t xml:space="preserve"> סעיף זה יחולו, בשינויים </w:t>
            </w:r>
            <w:proofErr w:type="spellStart"/>
            <w:r w:rsidRPr="00520E16">
              <w:rPr>
                <w:rFonts w:hint="eastAsia"/>
                <w:sz w:val="26"/>
                <w:rtl/>
              </w:rPr>
              <w:t>המחוייבים</w:t>
            </w:r>
            <w:proofErr w:type="spellEnd"/>
            <w:r w:rsidRPr="00520E16">
              <w:rPr>
                <w:sz w:val="26"/>
                <w:rtl/>
              </w:rPr>
              <w:t>, גם על תביעת השבה כמפורט בפרטים 15</w:t>
            </w:r>
            <w:r w:rsidRPr="00520E16">
              <w:rPr>
                <w:rFonts w:hint="cs"/>
                <w:sz w:val="26"/>
                <w:rtl/>
              </w:rPr>
              <w:t>, 16</w:t>
            </w:r>
            <w:r w:rsidRPr="00520E16">
              <w:rPr>
                <w:sz w:val="26"/>
                <w:rtl/>
              </w:rPr>
              <w:t xml:space="preserve"> ו-1</w:t>
            </w:r>
            <w:r w:rsidRPr="00520E16">
              <w:rPr>
                <w:rFonts w:hint="cs"/>
                <w:sz w:val="26"/>
                <w:rtl/>
              </w:rPr>
              <w:t>7</w:t>
            </w:r>
            <w:r w:rsidRPr="00520E16">
              <w:rPr>
                <w:sz w:val="26"/>
                <w:rtl/>
              </w:rPr>
              <w:t xml:space="preserve"> לתוספת </w:t>
            </w:r>
            <w:proofErr w:type="spellStart"/>
            <w:r w:rsidRPr="00520E16">
              <w:rPr>
                <w:rFonts w:hint="eastAsia"/>
                <w:sz w:val="26"/>
                <w:rtl/>
              </w:rPr>
              <w:t>השניה</w:t>
            </w:r>
            <w:proofErr w:type="spellEnd"/>
            <w:r w:rsidRPr="00520E16">
              <w:rPr>
                <w:sz w:val="26"/>
                <w:rtl/>
              </w:rPr>
              <w:t>.";</w:t>
            </w:r>
          </w:p>
        </w:tc>
      </w:tr>
      <w:tr w:rsidR="00307A80" w14:paraId="66CCB2B7" w14:textId="77777777">
        <w:trPr>
          <w:cantSplit/>
          <w:trHeight w:val="60"/>
        </w:trPr>
        <w:tc>
          <w:tcPr>
            <w:tcW w:w="1871" w:type="dxa"/>
          </w:tcPr>
          <w:p w14:paraId="254F977E" w14:textId="55E455C5" w:rsidR="00307A80" w:rsidRDefault="00307A80" w:rsidP="007E751D">
            <w:pPr>
              <w:pStyle w:val="TableSideHeading"/>
              <w:keepLines w:val="0"/>
            </w:pPr>
            <w:r>
              <w:rPr>
                <w:rFonts w:hint="cs"/>
                <w:rtl/>
              </w:rPr>
              <w:t>ביטול סעיף 22</w:t>
            </w:r>
          </w:p>
        </w:tc>
        <w:tc>
          <w:tcPr>
            <w:tcW w:w="624" w:type="dxa"/>
          </w:tcPr>
          <w:p w14:paraId="79737E55" w14:textId="77777777" w:rsidR="00307A80" w:rsidRDefault="00307A80" w:rsidP="00307A80">
            <w:pPr>
              <w:pStyle w:val="TableText"/>
              <w:keepLines w:val="0"/>
              <w:numPr>
                <w:ilvl w:val="0"/>
                <w:numId w:val="2"/>
              </w:numPr>
            </w:pPr>
          </w:p>
        </w:tc>
        <w:tc>
          <w:tcPr>
            <w:tcW w:w="7146" w:type="dxa"/>
            <w:gridSpan w:val="6"/>
          </w:tcPr>
          <w:p w14:paraId="5EC2809B" w14:textId="2E1DC9A6" w:rsidR="00307A80" w:rsidRPr="00C34DE2" w:rsidRDefault="00307A80" w:rsidP="007E751D">
            <w:pPr>
              <w:pStyle w:val="TableBlock"/>
              <w:keepLines w:val="0"/>
            </w:pPr>
            <w:r>
              <w:rPr>
                <w:rFonts w:hint="cs"/>
                <w:rtl/>
              </w:rPr>
              <w:t xml:space="preserve">סעיף 22 לחוק העיקרי </w:t>
            </w:r>
            <w:r>
              <w:rPr>
                <w:rtl/>
              </w:rPr>
              <w:t>–</w:t>
            </w:r>
            <w:r>
              <w:rPr>
                <w:rFonts w:hint="cs"/>
                <w:rtl/>
              </w:rPr>
              <w:t xml:space="preserve"> בטל.</w:t>
            </w:r>
          </w:p>
        </w:tc>
      </w:tr>
      <w:tr w:rsidR="00307A80" w14:paraId="2D351A64" w14:textId="77777777">
        <w:trPr>
          <w:cantSplit/>
          <w:trHeight w:val="60"/>
        </w:trPr>
        <w:tc>
          <w:tcPr>
            <w:tcW w:w="1871" w:type="dxa"/>
          </w:tcPr>
          <w:p w14:paraId="61EBCA32" w14:textId="5FCE85B1" w:rsidR="00307A80" w:rsidRDefault="00307A80" w:rsidP="007E751D">
            <w:pPr>
              <w:pStyle w:val="TableSideHeading"/>
              <w:keepLines w:val="0"/>
              <w:rPr>
                <w:rtl/>
              </w:rPr>
            </w:pPr>
            <w:r>
              <w:rPr>
                <w:rFonts w:hint="cs"/>
                <w:rtl/>
              </w:rPr>
              <w:lastRenderedPageBreak/>
              <w:t>תיקון סעיף 23</w:t>
            </w:r>
          </w:p>
        </w:tc>
        <w:tc>
          <w:tcPr>
            <w:tcW w:w="624" w:type="dxa"/>
          </w:tcPr>
          <w:p w14:paraId="2DB8D43B" w14:textId="168DB6D3" w:rsidR="00307A80" w:rsidRDefault="00307A80" w:rsidP="00307A80">
            <w:pPr>
              <w:pStyle w:val="TableText"/>
              <w:numPr>
                <w:ilvl w:val="0"/>
                <w:numId w:val="2"/>
              </w:numPr>
            </w:pPr>
          </w:p>
        </w:tc>
        <w:tc>
          <w:tcPr>
            <w:tcW w:w="7146" w:type="dxa"/>
            <w:gridSpan w:val="6"/>
          </w:tcPr>
          <w:p w14:paraId="26B29CC6" w14:textId="7613A362" w:rsidR="00307A80" w:rsidRDefault="005057D0" w:rsidP="007E751D">
            <w:pPr>
              <w:pStyle w:val="TableBlock"/>
              <w:keepLines w:val="0"/>
              <w:rPr>
                <w:rtl/>
              </w:rPr>
            </w:pPr>
            <w:r>
              <w:rPr>
                <w:rFonts w:hint="cs"/>
                <w:rtl/>
              </w:rPr>
              <w:t>במקום סעיף 23 לחוק העיקרי יבוא:</w:t>
            </w:r>
          </w:p>
        </w:tc>
      </w:tr>
      <w:tr w:rsidR="005057D0" w14:paraId="55E11E17" w14:textId="77777777">
        <w:trPr>
          <w:cantSplit/>
          <w:trHeight w:val="60"/>
        </w:trPr>
        <w:tc>
          <w:tcPr>
            <w:tcW w:w="1871" w:type="dxa"/>
          </w:tcPr>
          <w:p w14:paraId="6A6FE933" w14:textId="77777777" w:rsidR="005057D0" w:rsidRDefault="005057D0">
            <w:pPr>
              <w:pStyle w:val="TableSideHeading"/>
              <w:keepLines w:val="0"/>
            </w:pPr>
          </w:p>
        </w:tc>
        <w:tc>
          <w:tcPr>
            <w:tcW w:w="624" w:type="dxa"/>
          </w:tcPr>
          <w:p w14:paraId="62523A71" w14:textId="77777777" w:rsidR="005057D0" w:rsidRDefault="005057D0">
            <w:pPr>
              <w:pStyle w:val="TableText"/>
              <w:keepLines w:val="0"/>
            </w:pPr>
          </w:p>
        </w:tc>
        <w:tc>
          <w:tcPr>
            <w:tcW w:w="1872" w:type="dxa"/>
            <w:gridSpan w:val="3"/>
          </w:tcPr>
          <w:p w14:paraId="0798F6FE" w14:textId="5F36481E" w:rsidR="005057D0" w:rsidRDefault="005057D0">
            <w:pPr>
              <w:pStyle w:val="TableInnerSideHeading"/>
            </w:pPr>
            <w:r>
              <w:rPr>
                <w:rFonts w:hint="cs"/>
                <w:rtl/>
              </w:rPr>
              <w:t>"גמול לתובע מייצג ושכר טרחה לבא כוחו</w:t>
            </w:r>
          </w:p>
        </w:tc>
        <w:tc>
          <w:tcPr>
            <w:tcW w:w="624" w:type="dxa"/>
          </w:tcPr>
          <w:p w14:paraId="12481E02" w14:textId="3DB98C53" w:rsidR="005057D0" w:rsidRDefault="005057D0">
            <w:pPr>
              <w:pStyle w:val="TableText"/>
            </w:pPr>
            <w:r>
              <w:rPr>
                <w:rFonts w:hint="cs"/>
                <w:rtl/>
              </w:rPr>
              <w:t>23.</w:t>
            </w:r>
          </w:p>
        </w:tc>
        <w:tc>
          <w:tcPr>
            <w:tcW w:w="4650" w:type="dxa"/>
            <w:gridSpan w:val="2"/>
          </w:tcPr>
          <w:p w14:paraId="73B3DAE3" w14:textId="2D661CF5" w:rsidR="005057D0" w:rsidRDefault="005057D0" w:rsidP="00C57EB2">
            <w:pPr>
              <w:pStyle w:val="TableBlock"/>
              <w:numPr>
                <w:ilvl w:val="0"/>
                <w:numId w:val="25"/>
              </w:numPr>
              <w:tabs>
                <w:tab w:val="left" w:pos="624"/>
              </w:tabs>
            </w:pPr>
            <w:r w:rsidRPr="005057D0">
              <w:rPr>
                <w:rFonts w:hint="cs"/>
                <w:rtl/>
              </w:rPr>
              <w:t xml:space="preserve">הכריע בית המשפט בתובענה הייצוגית, כולה או חלקה, לטובת הקבוצה, כולה או חלקה, לרבות </w:t>
            </w:r>
            <w:r w:rsidRPr="00406DAD">
              <w:rPr>
                <w:rFonts w:hint="cs"/>
                <w:rtl/>
              </w:rPr>
              <w:t xml:space="preserve">בדרך של אישור הסדר פשרה, יורה על תשלום גמול </w:t>
            </w:r>
            <w:r w:rsidR="00011443" w:rsidRPr="00406DAD">
              <w:rPr>
                <w:rFonts w:hint="cs"/>
                <w:rtl/>
              </w:rPr>
              <w:t>למבקש או ה</w:t>
            </w:r>
            <w:r w:rsidRPr="00406DAD">
              <w:rPr>
                <w:rFonts w:hint="cs"/>
                <w:rtl/>
              </w:rPr>
              <w:t xml:space="preserve">תובע המייצג ושכר טרחה לבא כוחו, </w:t>
            </w:r>
            <w:r w:rsidR="00743602" w:rsidRPr="00406DAD">
              <w:rPr>
                <w:rFonts w:hint="cs"/>
                <w:rtl/>
              </w:rPr>
              <w:t xml:space="preserve">בנוסף לסעד שניתן לחברי הקבוצה וזאת </w:t>
            </w:r>
            <w:r w:rsidRPr="00406DAD">
              <w:rPr>
                <w:rFonts w:hint="cs"/>
                <w:rtl/>
              </w:rPr>
              <w:t xml:space="preserve">בשיעור כמפורט בפרט </w:t>
            </w:r>
            <w:r w:rsidR="00743602" w:rsidRPr="00406DAD">
              <w:rPr>
                <w:rFonts w:hint="cs"/>
                <w:rtl/>
              </w:rPr>
              <w:t>2</w:t>
            </w:r>
            <w:r w:rsidRPr="00406DAD">
              <w:rPr>
                <w:rFonts w:hint="cs"/>
                <w:rtl/>
              </w:rPr>
              <w:t xml:space="preserve"> </w:t>
            </w:r>
            <w:r w:rsidR="00913A8F" w:rsidRPr="00406DAD">
              <w:rPr>
                <w:rFonts w:hint="cs"/>
                <w:rtl/>
              </w:rPr>
              <w:t>ב</w:t>
            </w:r>
            <w:r w:rsidRPr="00406DAD">
              <w:rPr>
                <w:rFonts w:hint="cs"/>
                <w:rtl/>
              </w:rPr>
              <w:t>תוספת החמישית.</w:t>
            </w:r>
            <w:r w:rsidR="00704C14" w:rsidRPr="00406DAD">
              <w:rPr>
                <w:rFonts w:hint="cs"/>
                <w:rtl/>
              </w:rPr>
              <w:t xml:space="preserve"> </w:t>
            </w:r>
            <w:r w:rsidR="00011443" w:rsidRPr="00406DAD">
              <w:rPr>
                <w:rFonts w:hint="cs"/>
                <w:rtl/>
              </w:rPr>
              <w:t xml:space="preserve">המבקש או </w:t>
            </w:r>
            <w:r w:rsidRPr="00406DAD">
              <w:rPr>
                <w:rFonts w:hint="cs"/>
                <w:rtl/>
              </w:rPr>
              <w:t>התובע המייצג ובא</w:t>
            </w:r>
            <w:r w:rsidRPr="005057D0">
              <w:rPr>
                <w:rFonts w:hint="cs"/>
                <w:rtl/>
              </w:rPr>
              <w:t xml:space="preserve"> כוחו לא יקבלו תשלום בסכום העולה על הסכום שקבע בית המשפט כאמור.</w:t>
            </w:r>
          </w:p>
        </w:tc>
      </w:tr>
      <w:tr w:rsidR="00ED73B1" w14:paraId="4B774E67" w14:textId="77777777">
        <w:trPr>
          <w:cantSplit/>
          <w:trHeight w:val="60"/>
        </w:trPr>
        <w:tc>
          <w:tcPr>
            <w:tcW w:w="1871" w:type="dxa"/>
          </w:tcPr>
          <w:p w14:paraId="334B3D20" w14:textId="77777777" w:rsidR="00ED73B1" w:rsidRDefault="00ED73B1">
            <w:pPr>
              <w:pStyle w:val="TableSideHeading"/>
            </w:pPr>
          </w:p>
        </w:tc>
        <w:tc>
          <w:tcPr>
            <w:tcW w:w="624" w:type="dxa"/>
          </w:tcPr>
          <w:p w14:paraId="6874D49B" w14:textId="77777777" w:rsidR="00ED73B1" w:rsidRDefault="00ED73B1">
            <w:pPr>
              <w:pStyle w:val="TableText"/>
            </w:pPr>
          </w:p>
        </w:tc>
        <w:tc>
          <w:tcPr>
            <w:tcW w:w="624" w:type="dxa"/>
          </w:tcPr>
          <w:p w14:paraId="650D324C" w14:textId="77777777" w:rsidR="00ED73B1" w:rsidRDefault="00ED73B1">
            <w:pPr>
              <w:pStyle w:val="TableText"/>
            </w:pPr>
          </w:p>
        </w:tc>
        <w:tc>
          <w:tcPr>
            <w:tcW w:w="624" w:type="dxa"/>
          </w:tcPr>
          <w:p w14:paraId="464F6E57" w14:textId="77777777" w:rsidR="00ED73B1" w:rsidRDefault="00ED73B1">
            <w:pPr>
              <w:pStyle w:val="TableText"/>
            </w:pPr>
          </w:p>
        </w:tc>
        <w:tc>
          <w:tcPr>
            <w:tcW w:w="624" w:type="dxa"/>
          </w:tcPr>
          <w:p w14:paraId="7048EC8C" w14:textId="77777777" w:rsidR="00ED73B1" w:rsidRDefault="00ED73B1">
            <w:pPr>
              <w:pStyle w:val="TableText"/>
            </w:pPr>
          </w:p>
        </w:tc>
        <w:tc>
          <w:tcPr>
            <w:tcW w:w="624" w:type="dxa"/>
          </w:tcPr>
          <w:p w14:paraId="38A7BB1C" w14:textId="77777777" w:rsidR="00ED73B1" w:rsidRDefault="00ED73B1">
            <w:pPr>
              <w:pStyle w:val="TableText"/>
            </w:pPr>
          </w:p>
        </w:tc>
        <w:tc>
          <w:tcPr>
            <w:tcW w:w="4650" w:type="dxa"/>
            <w:gridSpan w:val="2"/>
          </w:tcPr>
          <w:p w14:paraId="15C1EB94" w14:textId="69A34D91" w:rsidR="00ED73B1" w:rsidRDefault="00ED73B1" w:rsidP="00C57EB2">
            <w:pPr>
              <w:pStyle w:val="TableBlock"/>
              <w:numPr>
                <w:ilvl w:val="0"/>
                <w:numId w:val="25"/>
              </w:numPr>
              <w:tabs>
                <w:tab w:val="left" w:pos="624"/>
              </w:tabs>
            </w:pPr>
            <w:r w:rsidRPr="008F426D">
              <w:rPr>
                <w:rFonts w:hint="cs"/>
                <w:rtl/>
              </w:rPr>
              <w:t xml:space="preserve">הכריע בית המשפט בתובענה הייצוגית, כולה או חלקה, לטובת הקבוצה, כולה או חלקה לרבות </w:t>
            </w:r>
            <w:r w:rsidRPr="00406DAD">
              <w:rPr>
                <w:rFonts w:hint="cs"/>
                <w:rtl/>
              </w:rPr>
              <w:t>בדרך של אישור הסדר פשרה, וקבע כי הפיצוי לקבוצה, כולה או חלקה יינתן בדרך של סעד אחר, שאינו כספי, כמפורט בסעיף 20(</w:t>
            </w:r>
            <w:r w:rsidR="0099204C" w:rsidRPr="00406DAD">
              <w:rPr>
                <w:rFonts w:hint="cs"/>
                <w:rtl/>
              </w:rPr>
              <w:t>א</w:t>
            </w:r>
            <w:r w:rsidRPr="00406DAD">
              <w:rPr>
                <w:rFonts w:hint="cs"/>
                <w:rtl/>
              </w:rPr>
              <w:t>)</w:t>
            </w:r>
            <w:r w:rsidR="00DF7044" w:rsidRPr="00406DAD">
              <w:rPr>
                <w:rFonts w:hint="cs"/>
                <w:rtl/>
              </w:rPr>
              <w:t>(2)</w:t>
            </w:r>
            <w:r w:rsidRPr="00406DAD">
              <w:rPr>
                <w:rFonts w:hint="cs"/>
                <w:rtl/>
              </w:rPr>
              <w:t xml:space="preserve"> ובסעיף 20(</w:t>
            </w:r>
            <w:r w:rsidR="0099204C" w:rsidRPr="00406DAD">
              <w:rPr>
                <w:rFonts w:hint="cs"/>
                <w:rtl/>
              </w:rPr>
              <w:t>ג</w:t>
            </w:r>
            <w:r w:rsidRPr="00406DAD">
              <w:rPr>
                <w:rFonts w:hint="cs"/>
                <w:rtl/>
              </w:rPr>
              <w:t>)</w:t>
            </w:r>
            <w:r w:rsidR="0099204C" w:rsidRPr="00406DAD">
              <w:rPr>
                <w:rFonts w:hint="cs"/>
                <w:rtl/>
              </w:rPr>
              <w:t>(2)</w:t>
            </w:r>
            <w:r w:rsidRPr="00406DAD">
              <w:rPr>
                <w:rFonts w:hint="cs"/>
                <w:rtl/>
              </w:rPr>
              <w:t>, יפסוק בית המשפט את הגמול למבקש או לתובע המייצג ושכר הטרחה לבא כוחו בהתאם לשיעורים שנקבעו בתוספת החמישית, מתוך הסכום שהציעו הצדדים כפיצוי כספי</w:t>
            </w:r>
            <w:r w:rsidRPr="008F426D">
              <w:rPr>
                <w:rFonts w:hint="cs"/>
                <w:rtl/>
              </w:rPr>
              <w:t xml:space="preserve"> אישי או כפיצוי כספי לקרן.</w:t>
            </w:r>
          </w:p>
        </w:tc>
      </w:tr>
      <w:tr w:rsidR="005057D0" w14:paraId="7106BE39" w14:textId="77777777">
        <w:trPr>
          <w:cantSplit/>
          <w:trHeight w:val="60"/>
        </w:trPr>
        <w:tc>
          <w:tcPr>
            <w:tcW w:w="1871" w:type="dxa"/>
          </w:tcPr>
          <w:p w14:paraId="02B7FE6F" w14:textId="77777777" w:rsidR="005057D0" w:rsidRDefault="005057D0">
            <w:pPr>
              <w:pStyle w:val="TableSideHeading"/>
            </w:pPr>
          </w:p>
        </w:tc>
        <w:tc>
          <w:tcPr>
            <w:tcW w:w="624" w:type="dxa"/>
          </w:tcPr>
          <w:p w14:paraId="67A8907C" w14:textId="77777777" w:rsidR="005057D0" w:rsidRDefault="005057D0">
            <w:pPr>
              <w:pStyle w:val="TableText"/>
            </w:pPr>
          </w:p>
        </w:tc>
        <w:tc>
          <w:tcPr>
            <w:tcW w:w="624" w:type="dxa"/>
          </w:tcPr>
          <w:p w14:paraId="48BBCCAD" w14:textId="77777777" w:rsidR="005057D0" w:rsidRDefault="005057D0">
            <w:pPr>
              <w:pStyle w:val="TableText"/>
            </w:pPr>
          </w:p>
        </w:tc>
        <w:tc>
          <w:tcPr>
            <w:tcW w:w="624" w:type="dxa"/>
          </w:tcPr>
          <w:p w14:paraId="67A7DB57" w14:textId="77777777" w:rsidR="005057D0" w:rsidRDefault="005057D0">
            <w:pPr>
              <w:pStyle w:val="TableText"/>
            </w:pPr>
          </w:p>
        </w:tc>
        <w:tc>
          <w:tcPr>
            <w:tcW w:w="624" w:type="dxa"/>
          </w:tcPr>
          <w:p w14:paraId="2D969849" w14:textId="77777777" w:rsidR="005057D0" w:rsidRDefault="005057D0">
            <w:pPr>
              <w:pStyle w:val="TableText"/>
            </w:pPr>
          </w:p>
        </w:tc>
        <w:tc>
          <w:tcPr>
            <w:tcW w:w="624" w:type="dxa"/>
          </w:tcPr>
          <w:p w14:paraId="055CEFC8" w14:textId="77777777" w:rsidR="005057D0" w:rsidRDefault="005057D0">
            <w:pPr>
              <w:pStyle w:val="TableText"/>
            </w:pPr>
          </w:p>
        </w:tc>
        <w:tc>
          <w:tcPr>
            <w:tcW w:w="4650" w:type="dxa"/>
            <w:gridSpan w:val="2"/>
          </w:tcPr>
          <w:p w14:paraId="5967752A" w14:textId="7BAC6DE4" w:rsidR="005057D0" w:rsidRDefault="005057D0" w:rsidP="00C57EB2">
            <w:pPr>
              <w:pStyle w:val="TableBlock"/>
              <w:numPr>
                <w:ilvl w:val="0"/>
                <w:numId w:val="25"/>
              </w:numPr>
              <w:tabs>
                <w:tab w:val="left" w:pos="624"/>
              </w:tabs>
            </w:pPr>
            <w:r w:rsidRPr="005057D0">
              <w:rPr>
                <w:rFonts w:hint="cs"/>
                <w:rtl/>
              </w:rPr>
              <w:t>על אף האמור</w:t>
            </w:r>
            <w:r w:rsidRPr="00406DAD">
              <w:rPr>
                <w:rFonts w:hint="cs"/>
                <w:rtl/>
              </w:rPr>
              <w:t xml:space="preserve">, בית המשפט יהיה רשאי לסטות מן השיעור כמפורט בפרט </w:t>
            </w:r>
            <w:r w:rsidR="0099204C" w:rsidRPr="00406DAD">
              <w:rPr>
                <w:rFonts w:hint="cs"/>
                <w:rtl/>
              </w:rPr>
              <w:t>2</w:t>
            </w:r>
            <w:r w:rsidRPr="00406DAD">
              <w:rPr>
                <w:rFonts w:hint="cs"/>
                <w:rtl/>
              </w:rPr>
              <w:t xml:space="preserve"> </w:t>
            </w:r>
            <w:r w:rsidR="00913A8F" w:rsidRPr="00406DAD">
              <w:rPr>
                <w:rFonts w:hint="cs"/>
                <w:rtl/>
              </w:rPr>
              <w:t>ב</w:t>
            </w:r>
            <w:r w:rsidRPr="00406DAD">
              <w:rPr>
                <w:rFonts w:hint="cs"/>
                <w:rtl/>
              </w:rPr>
              <w:t xml:space="preserve">תוספת החמישית בשיעור מקסימאלי כמפורט בפרט </w:t>
            </w:r>
            <w:r w:rsidR="0099204C" w:rsidRPr="00406DAD">
              <w:rPr>
                <w:rFonts w:hint="cs"/>
                <w:rtl/>
              </w:rPr>
              <w:t>3</w:t>
            </w:r>
            <w:r w:rsidRPr="00406DAD">
              <w:rPr>
                <w:rFonts w:hint="cs"/>
                <w:rtl/>
              </w:rPr>
              <w:t xml:space="preserve"> </w:t>
            </w:r>
            <w:r w:rsidR="00913A8F" w:rsidRPr="00406DAD">
              <w:rPr>
                <w:rFonts w:hint="cs"/>
                <w:rtl/>
              </w:rPr>
              <w:t>ב</w:t>
            </w:r>
            <w:r w:rsidRPr="00406DAD">
              <w:rPr>
                <w:rFonts w:hint="cs"/>
                <w:rtl/>
              </w:rPr>
              <w:t>תוספת החמישית, וזאת בהתחשב</w:t>
            </w:r>
            <w:r w:rsidRPr="005057D0">
              <w:rPr>
                <w:rFonts w:hint="cs"/>
                <w:rtl/>
              </w:rPr>
              <w:t xml:space="preserve"> בין השאר, בשיקולים אלה:</w:t>
            </w:r>
          </w:p>
        </w:tc>
      </w:tr>
      <w:tr w:rsidR="005057D0" w14:paraId="25B84E30" w14:textId="77777777">
        <w:trPr>
          <w:cantSplit/>
          <w:trHeight w:val="60"/>
        </w:trPr>
        <w:tc>
          <w:tcPr>
            <w:tcW w:w="1871" w:type="dxa"/>
          </w:tcPr>
          <w:p w14:paraId="0D597DAC" w14:textId="77777777" w:rsidR="005057D0" w:rsidRDefault="005057D0">
            <w:pPr>
              <w:pStyle w:val="TableSideHeading"/>
            </w:pPr>
          </w:p>
        </w:tc>
        <w:tc>
          <w:tcPr>
            <w:tcW w:w="624" w:type="dxa"/>
          </w:tcPr>
          <w:p w14:paraId="3D36E3B6" w14:textId="77777777" w:rsidR="005057D0" w:rsidRDefault="005057D0">
            <w:pPr>
              <w:pStyle w:val="TableText"/>
            </w:pPr>
          </w:p>
        </w:tc>
        <w:tc>
          <w:tcPr>
            <w:tcW w:w="624" w:type="dxa"/>
          </w:tcPr>
          <w:p w14:paraId="7DCA87BE" w14:textId="77777777" w:rsidR="005057D0" w:rsidRDefault="005057D0">
            <w:pPr>
              <w:pStyle w:val="TableText"/>
            </w:pPr>
          </w:p>
        </w:tc>
        <w:tc>
          <w:tcPr>
            <w:tcW w:w="624" w:type="dxa"/>
          </w:tcPr>
          <w:p w14:paraId="5DC680ED" w14:textId="77777777" w:rsidR="005057D0" w:rsidRDefault="005057D0">
            <w:pPr>
              <w:pStyle w:val="TableText"/>
            </w:pPr>
          </w:p>
        </w:tc>
        <w:tc>
          <w:tcPr>
            <w:tcW w:w="624" w:type="dxa"/>
          </w:tcPr>
          <w:p w14:paraId="234CFC82" w14:textId="77777777" w:rsidR="005057D0" w:rsidRDefault="005057D0">
            <w:pPr>
              <w:pStyle w:val="TableText"/>
            </w:pPr>
          </w:p>
        </w:tc>
        <w:tc>
          <w:tcPr>
            <w:tcW w:w="624" w:type="dxa"/>
          </w:tcPr>
          <w:p w14:paraId="5B7FDD18" w14:textId="77777777" w:rsidR="005057D0" w:rsidRDefault="005057D0">
            <w:pPr>
              <w:pStyle w:val="TableText"/>
            </w:pPr>
          </w:p>
        </w:tc>
        <w:tc>
          <w:tcPr>
            <w:tcW w:w="624" w:type="dxa"/>
          </w:tcPr>
          <w:p w14:paraId="5351C1B3" w14:textId="77777777" w:rsidR="005057D0" w:rsidRDefault="005057D0">
            <w:pPr>
              <w:pStyle w:val="TableText"/>
            </w:pPr>
          </w:p>
        </w:tc>
        <w:tc>
          <w:tcPr>
            <w:tcW w:w="4026" w:type="dxa"/>
          </w:tcPr>
          <w:p w14:paraId="0280E405" w14:textId="65836AB6" w:rsidR="005057D0" w:rsidRPr="005057D0" w:rsidRDefault="005057D0" w:rsidP="00C57EB2">
            <w:pPr>
              <w:pStyle w:val="TableBlock"/>
              <w:numPr>
                <w:ilvl w:val="0"/>
                <w:numId w:val="26"/>
              </w:numPr>
              <w:tabs>
                <w:tab w:val="left" w:pos="624"/>
              </w:tabs>
            </w:pPr>
            <w:r w:rsidRPr="005057D0">
              <w:rPr>
                <w:rFonts w:hint="cs"/>
                <w:rtl/>
              </w:rPr>
              <w:t>מורכבות ההליך, הטרחה שטרח התובע המייצג ובא הכוח המייצג והסיכון שנטלו בהגשת התובענה הייצוגית ובניהולה;</w:t>
            </w:r>
          </w:p>
        </w:tc>
      </w:tr>
      <w:tr w:rsidR="005057D0" w14:paraId="03A0BE55" w14:textId="77777777">
        <w:trPr>
          <w:cantSplit/>
          <w:trHeight w:val="60"/>
        </w:trPr>
        <w:tc>
          <w:tcPr>
            <w:tcW w:w="1871" w:type="dxa"/>
          </w:tcPr>
          <w:p w14:paraId="5E0EA47F" w14:textId="77777777" w:rsidR="005057D0" w:rsidRDefault="005057D0">
            <w:pPr>
              <w:pStyle w:val="TableSideHeading"/>
            </w:pPr>
          </w:p>
        </w:tc>
        <w:tc>
          <w:tcPr>
            <w:tcW w:w="624" w:type="dxa"/>
          </w:tcPr>
          <w:p w14:paraId="72C97C31" w14:textId="77777777" w:rsidR="005057D0" w:rsidRDefault="005057D0" w:rsidP="005057D0">
            <w:pPr>
              <w:pStyle w:val="TableText"/>
            </w:pPr>
          </w:p>
        </w:tc>
        <w:tc>
          <w:tcPr>
            <w:tcW w:w="624" w:type="dxa"/>
          </w:tcPr>
          <w:p w14:paraId="36AE5EC2" w14:textId="77777777" w:rsidR="005057D0" w:rsidRDefault="005057D0">
            <w:pPr>
              <w:pStyle w:val="TableText"/>
            </w:pPr>
          </w:p>
        </w:tc>
        <w:tc>
          <w:tcPr>
            <w:tcW w:w="624" w:type="dxa"/>
          </w:tcPr>
          <w:p w14:paraId="5A761529" w14:textId="77777777" w:rsidR="005057D0" w:rsidRDefault="005057D0">
            <w:pPr>
              <w:pStyle w:val="TableText"/>
            </w:pPr>
          </w:p>
        </w:tc>
        <w:tc>
          <w:tcPr>
            <w:tcW w:w="624" w:type="dxa"/>
          </w:tcPr>
          <w:p w14:paraId="7F16BA2E" w14:textId="77777777" w:rsidR="005057D0" w:rsidRDefault="005057D0">
            <w:pPr>
              <w:pStyle w:val="TableText"/>
            </w:pPr>
          </w:p>
        </w:tc>
        <w:tc>
          <w:tcPr>
            <w:tcW w:w="624" w:type="dxa"/>
          </w:tcPr>
          <w:p w14:paraId="25F17352" w14:textId="77777777" w:rsidR="005057D0" w:rsidRDefault="005057D0">
            <w:pPr>
              <w:pStyle w:val="TableText"/>
            </w:pPr>
          </w:p>
        </w:tc>
        <w:tc>
          <w:tcPr>
            <w:tcW w:w="624" w:type="dxa"/>
          </w:tcPr>
          <w:p w14:paraId="3AE1C6F6" w14:textId="77777777" w:rsidR="005057D0" w:rsidRDefault="005057D0">
            <w:pPr>
              <w:pStyle w:val="TableText"/>
            </w:pPr>
          </w:p>
        </w:tc>
        <w:tc>
          <w:tcPr>
            <w:tcW w:w="4026" w:type="dxa"/>
          </w:tcPr>
          <w:p w14:paraId="029AB1B9" w14:textId="27B50675" w:rsidR="005057D0" w:rsidRPr="005057D0" w:rsidRDefault="005057D0" w:rsidP="00C57EB2">
            <w:pPr>
              <w:pStyle w:val="TableBlock"/>
              <w:numPr>
                <w:ilvl w:val="0"/>
                <w:numId w:val="26"/>
              </w:numPr>
              <w:tabs>
                <w:tab w:val="left" w:pos="624"/>
              </w:tabs>
              <w:rPr>
                <w:rtl/>
              </w:rPr>
            </w:pPr>
            <w:r w:rsidRPr="005057D0">
              <w:rPr>
                <w:rFonts w:hint="cs"/>
                <w:rtl/>
              </w:rPr>
              <w:t>התועלת שהביאה התובענה הייצוגית לחברי הקבוצה;</w:t>
            </w:r>
          </w:p>
        </w:tc>
      </w:tr>
      <w:tr w:rsidR="005057D0" w14:paraId="4349A596" w14:textId="77777777">
        <w:trPr>
          <w:cantSplit/>
          <w:trHeight w:val="60"/>
        </w:trPr>
        <w:tc>
          <w:tcPr>
            <w:tcW w:w="1871" w:type="dxa"/>
          </w:tcPr>
          <w:p w14:paraId="37D029EF" w14:textId="77777777" w:rsidR="005057D0" w:rsidRDefault="005057D0">
            <w:pPr>
              <w:pStyle w:val="TableSideHeading"/>
            </w:pPr>
          </w:p>
        </w:tc>
        <w:tc>
          <w:tcPr>
            <w:tcW w:w="624" w:type="dxa"/>
          </w:tcPr>
          <w:p w14:paraId="47E5973B" w14:textId="77777777" w:rsidR="005057D0" w:rsidRDefault="005057D0" w:rsidP="005057D0">
            <w:pPr>
              <w:pStyle w:val="TableText"/>
            </w:pPr>
          </w:p>
        </w:tc>
        <w:tc>
          <w:tcPr>
            <w:tcW w:w="624" w:type="dxa"/>
          </w:tcPr>
          <w:p w14:paraId="4DE7915E" w14:textId="77777777" w:rsidR="005057D0" w:rsidRDefault="005057D0">
            <w:pPr>
              <w:pStyle w:val="TableText"/>
            </w:pPr>
          </w:p>
        </w:tc>
        <w:tc>
          <w:tcPr>
            <w:tcW w:w="624" w:type="dxa"/>
          </w:tcPr>
          <w:p w14:paraId="47C0A24F" w14:textId="77777777" w:rsidR="005057D0" w:rsidRDefault="005057D0">
            <w:pPr>
              <w:pStyle w:val="TableText"/>
            </w:pPr>
          </w:p>
        </w:tc>
        <w:tc>
          <w:tcPr>
            <w:tcW w:w="624" w:type="dxa"/>
          </w:tcPr>
          <w:p w14:paraId="441F7E66" w14:textId="77777777" w:rsidR="005057D0" w:rsidRDefault="005057D0">
            <w:pPr>
              <w:pStyle w:val="TableText"/>
            </w:pPr>
          </w:p>
        </w:tc>
        <w:tc>
          <w:tcPr>
            <w:tcW w:w="624" w:type="dxa"/>
          </w:tcPr>
          <w:p w14:paraId="0740F6C2" w14:textId="77777777" w:rsidR="005057D0" w:rsidRDefault="005057D0">
            <w:pPr>
              <w:pStyle w:val="TableText"/>
            </w:pPr>
          </w:p>
        </w:tc>
        <w:tc>
          <w:tcPr>
            <w:tcW w:w="624" w:type="dxa"/>
          </w:tcPr>
          <w:p w14:paraId="624732F0" w14:textId="77777777" w:rsidR="005057D0" w:rsidRDefault="005057D0">
            <w:pPr>
              <w:pStyle w:val="TableText"/>
            </w:pPr>
          </w:p>
        </w:tc>
        <w:tc>
          <w:tcPr>
            <w:tcW w:w="4026" w:type="dxa"/>
          </w:tcPr>
          <w:p w14:paraId="6079FF72" w14:textId="7B6237EA" w:rsidR="005057D0" w:rsidRPr="005057D0" w:rsidRDefault="005057D0" w:rsidP="00C57EB2">
            <w:pPr>
              <w:pStyle w:val="TableBlock"/>
              <w:numPr>
                <w:ilvl w:val="0"/>
                <w:numId w:val="26"/>
              </w:numPr>
              <w:tabs>
                <w:tab w:val="left" w:pos="624"/>
              </w:tabs>
              <w:rPr>
                <w:rtl/>
              </w:rPr>
            </w:pPr>
            <w:r w:rsidRPr="005057D0">
              <w:rPr>
                <w:rFonts w:hint="cs"/>
                <w:rtl/>
              </w:rPr>
              <w:t>מידת החשיבות הציבורית של התובענה הייצוגית.</w:t>
            </w:r>
          </w:p>
        </w:tc>
      </w:tr>
      <w:tr w:rsidR="00E41445" w14:paraId="10C197EC" w14:textId="77777777">
        <w:trPr>
          <w:cantSplit/>
          <w:trHeight w:val="60"/>
        </w:trPr>
        <w:tc>
          <w:tcPr>
            <w:tcW w:w="1871" w:type="dxa"/>
          </w:tcPr>
          <w:p w14:paraId="6BBD2A87" w14:textId="09C57035" w:rsidR="00E41445" w:rsidRPr="00E41445" w:rsidRDefault="00E41445">
            <w:pPr>
              <w:pStyle w:val="TableSideHeading"/>
              <w:rPr>
                <w:szCs w:val="20"/>
              </w:rPr>
            </w:pPr>
          </w:p>
        </w:tc>
        <w:tc>
          <w:tcPr>
            <w:tcW w:w="624" w:type="dxa"/>
          </w:tcPr>
          <w:p w14:paraId="53155CCD" w14:textId="77777777" w:rsidR="00E41445" w:rsidRDefault="00E41445" w:rsidP="00E41445">
            <w:pPr>
              <w:pStyle w:val="TableText"/>
            </w:pPr>
          </w:p>
        </w:tc>
        <w:tc>
          <w:tcPr>
            <w:tcW w:w="624" w:type="dxa"/>
          </w:tcPr>
          <w:p w14:paraId="759603B4" w14:textId="77777777" w:rsidR="00E41445" w:rsidRDefault="00E41445">
            <w:pPr>
              <w:pStyle w:val="TableText"/>
            </w:pPr>
          </w:p>
        </w:tc>
        <w:tc>
          <w:tcPr>
            <w:tcW w:w="624" w:type="dxa"/>
          </w:tcPr>
          <w:p w14:paraId="17190B6D" w14:textId="77777777" w:rsidR="00E41445" w:rsidRDefault="00E41445">
            <w:pPr>
              <w:pStyle w:val="TableText"/>
            </w:pPr>
          </w:p>
        </w:tc>
        <w:tc>
          <w:tcPr>
            <w:tcW w:w="624" w:type="dxa"/>
          </w:tcPr>
          <w:p w14:paraId="36D811F7" w14:textId="77777777" w:rsidR="00E41445" w:rsidRDefault="00E41445">
            <w:pPr>
              <w:pStyle w:val="TableText"/>
            </w:pPr>
          </w:p>
        </w:tc>
        <w:tc>
          <w:tcPr>
            <w:tcW w:w="624" w:type="dxa"/>
          </w:tcPr>
          <w:p w14:paraId="1A360181" w14:textId="77777777" w:rsidR="00E41445" w:rsidRDefault="00E41445">
            <w:pPr>
              <w:pStyle w:val="TableText"/>
            </w:pPr>
          </w:p>
        </w:tc>
        <w:tc>
          <w:tcPr>
            <w:tcW w:w="624" w:type="dxa"/>
          </w:tcPr>
          <w:p w14:paraId="24E4845C" w14:textId="77777777" w:rsidR="00E41445" w:rsidRDefault="00E41445">
            <w:pPr>
              <w:pStyle w:val="TableText"/>
            </w:pPr>
          </w:p>
        </w:tc>
        <w:tc>
          <w:tcPr>
            <w:tcW w:w="4026" w:type="dxa"/>
          </w:tcPr>
          <w:p w14:paraId="6DB696BC" w14:textId="4DB28505" w:rsidR="00E41445" w:rsidRPr="005057D0" w:rsidRDefault="00E41445" w:rsidP="00C57EB2">
            <w:pPr>
              <w:pStyle w:val="TableBlock"/>
              <w:numPr>
                <w:ilvl w:val="0"/>
                <w:numId w:val="26"/>
              </w:numPr>
              <w:tabs>
                <w:tab w:val="left" w:pos="624"/>
              </w:tabs>
              <w:rPr>
                <w:rtl/>
              </w:rPr>
            </w:pPr>
            <w:r>
              <w:rPr>
                <w:rFonts w:hint="cs"/>
                <w:rtl/>
              </w:rPr>
              <w:t>היות הנתבע רשות ציבורית.</w:t>
            </w:r>
          </w:p>
        </w:tc>
      </w:tr>
      <w:tr w:rsidR="0039211A" w14:paraId="380875E6" w14:textId="77777777">
        <w:trPr>
          <w:cantSplit/>
          <w:trHeight w:val="60"/>
        </w:trPr>
        <w:tc>
          <w:tcPr>
            <w:tcW w:w="1871" w:type="dxa"/>
          </w:tcPr>
          <w:p w14:paraId="3DA4163F" w14:textId="77777777" w:rsidR="0039211A" w:rsidRDefault="0039211A">
            <w:pPr>
              <w:pStyle w:val="TableSideHeading"/>
            </w:pPr>
          </w:p>
        </w:tc>
        <w:tc>
          <w:tcPr>
            <w:tcW w:w="624" w:type="dxa"/>
          </w:tcPr>
          <w:p w14:paraId="5AF642A8" w14:textId="77777777" w:rsidR="0039211A" w:rsidRDefault="0039211A">
            <w:pPr>
              <w:pStyle w:val="TableText"/>
            </w:pPr>
          </w:p>
        </w:tc>
        <w:tc>
          <w:tcPr>
            <w:tcW w:w="624" w:type="dxa"/>
          </w:tcPr>
          <w:p w14:paraId="346803B8" w14:textId="77777777" w:rsidR="0039211A" w:rsidRDefault="0039211A">
            <w:pPr>
              <w:pStyle w:val="TableText"/>
            </w:pPr>
          </w:p>
        </w:tc>
        <w:tc>
          <w:tcPr>
            <w:tcW w:w="624" w:type="dxa"/>
          </w:tcPr>
          <w:p w14:paraId="156377C6" w14:textId="77777777" w:rsidR="0039211A" w:rsidRDefault="0039211A">
            <w:pPr>
              <w:pStyle w:val="TableText"/>
            </w:pPr>
          </w:p>
        </w:tc>
        <w:tc>
          <w:tcPr>
            <w:tcW w:w="624" w:type="dxa"/>
          </w:tcPr>
          <w:p w14:paraId="23F696D0" w14:textId="77777777" w:rsidR="0039211A" w:rsidRDefault="0039211A">
            <w:pPr>
              <w:pStyle w:val="TableText"/>
            </w:pPr>
          </w:p>
        </w:tc>
        <w:tc>
          <w:tcPr>
            <w:tcW w:w="624" w:type="dxa"/>
          </w:tcPr>
          <w:p w14:paraId="46045FA9" w14:textId="77777777" w:rsidR="0039211A" w:rsidRDefault="0039211A">
            <w:pPr>
              <w:pStyle w:val="TableText"/>
            </w:pPr>
          </w:p>
        </w:tc>
        <w:tc>
          <w:tcPr>
            <w:tcW w:w="4650" w:type="dxa"/>
            <w:gridSpan w:val="2"/>
          </w:tcPr>
          <w:p w14:paraId="30D6B5C8" w14:textId="2FCFD302" w:rsidR="0039211A" w:rsidRDefault="0039211A" w:rsidP="00C57EB2">
            <w:pPr>
              <w:pStyle w:val="TableBlock"/>
              <w:numPr>
                <w:ilvl w:val="0"/>
                <w:numId w:val="25"/>
              </w:numPr>
              <w:tabs>
                <w:tab w:val="left" w:pos="624"/>
              </w:tabs>
            </w:pPr>
            <w:r w:rsidRPr="008F426D">
              <w:rPr>
                <w:rFonts w:hint="cs"/>
                <w:rtl/>
              </w:rPr>
              <w:t xml:space="preserve">בית המשפט יקבע כי תשלום הגמול </w:t>
            </w:r>
            <w:r>
              <w:rPr>
                <w:rFonts w:hint="cs"/>
                <w:rtl/>
              </w:rPr>
              <w:t xml:space="preserve">למבקש או </w:t>
            </w:r>
            <w:r w:rsidRPr="008F426D">
              <w:rPr>
                <w:rFonts w:hint="cs"/>
                <w:rtl/>
              </w:rPr>
              <w:t>לתובע המייצג ושכר הטרחה לבא כוח המייצג יהיה מותנה, כולו או חלקו ה</w:t>
            </w:r>
            <w:r>
              <w:rPr>
                <w:rFonts w:hint="cs"/>
                <w:rtl/>
              </w:rPr>
              <w:t>עיקרי</w:t>
            </w:r>
            <w:r w:rsidRPr="008F426D">
              <w:rPr>
                <w:rFonts w:hint="cs"/>
                <w:rtl/>
              </w:rPr>
              <w:t>, במימוש פסק הדין ובהשלמת ביצועו.</w:t>
            </w:r>
          </w:p>
        </w:tc>
      </w:tr>
      <w:tr w:rsidR="0039211A" w14:paraId="2797A6A7" w14:textId="77777777">
        <w:trPr>
          <w:cantSplit/>
          <w:trHeight w:val="60"/>
        </w:trPr>
        <w:tc>
          <w:tcPr>
            <w:tcW w:w="1871" w:type="dxa"/>
          </w:tcPr>
          <w:p w14:paraId="6E11C908" w14:textId="77777777" w:rsidR="0039211A" w:rsidRDefault="0039211A">
            <w:pPr>
              <w:pStyle w:val="TableSideHeading"/>
            </w:pPr>
          </w:p>
        </w:tc>
        <w:tc>
          <w:tcPr>
            <w:tcW w:w="624" w:type="dxa"/>
          </w:tcPr>
          <w:p w14:paraId="3B5A32FA" w14:textId="77777777" w:rsidR="0039211A" w:rsidRDefault="0039211A" w:rsidP="0039211A">
            <w:pPr>
              <w:pStyle w:val="TableText"/>
            </w:pPr>
          </w:p>
        </w:tc>
        <w:tc>
          <w:tcPr>
            <w:tcW w:w="624" w:type="dxa"/>
          </w:tcPr>
          <w:p w14:paraId="0E6274D1" w14:textId="77777777" w:rsidR="0039211A" w:rsidRDefault="0039211A">
            <w:pPr>
              <w:pStyle w:val="TableText"/>
            </w:pPr>
          </w:p>
        </w:tc>
        <w:tc>
          <w:tcPr>
            <w:tcW w:w="624" w:type="dxa"/>
          </w:tcPr>
          <w:p w14:paraId="72284127" w14:textId="77777777" w:rsidR="0039211A" w:rsidRDefault="0039211A">
            <w:pPr>
              <w:pStyle w:val="TableText"/>
            </w:pPr>
          </w:p>
        </w:tc>
        <w:tc>
          <w:tcPr>
            <w:tcW w:w="624" w:type="dxa"/>
          </w:tcPr>
          <w:p w14:paraId="0D585D19" w14:textId="77777777" w:rsidR="0039211A" w:rsidRDefault="0039211A">
            <w:pPr>
              <w:pStyle w:val="TableText"/>
            </w:pPr>
          </w:p>
        </w:tc>
        <w:tc>
          <w:tcPr>
            <w:tcW w:w="624" w:type="dxa"/>
          </w:tcPr>
          <w:p w14:paraId="11F8392A" w14:textId="77777777" w:rsidR="0039211A" w:rsidRDefault="0039211A">
            <w:pPr>
              <w:pStyle w:val="TableText"/>
            </w:pPr>
          </w:p>
        </w:tc>
        <w:tc>
          <w:tcPr>
            <w:tcW w:w="4650" w:type="dxa"/>
            <w:gridSpan w:val="2"/>
          </w:tcPr>
          <w:p w14:paraId="7AB5B2C2" w14:textId="40DC4AE9" w:rsidR="0039211A" w:rsidRPr="008F426D" w:rsidRDefault="0039211A" w:rsidP="00C57EB2">
            <w:pPr>
              <w:pStyle w:val="TableBlock"/>
              <w:numPr>
                <w:ilvl w:val="0"/>
                <w:numId w:val="25"/>
              </w:numPr>
              <w:tabs>
                <w:tab w:val="left" w:pos="624"/>
              </w:tabs>
              <w:rPr>
                <w:rtl/>
              </w:rPr>
            </w:pPr>
            <w:r w:rsidRPr="008F426D">
              <w:rPr>
                <w:rFonts w:hint="cs"/>
                <w:rtl/>
              </w:rPr>
              <w:t xml:space="preserve">בית המשפט רשאי לקבוע לבא כוח מייצג שכר טרחה חלקי על חשבון שכר הטרחה הכולל, אף בטרם הסתיים הליך הבירור של התובענה הייצוגית, אם מצא שהדבר מוצדק בנסיבות </w:t>
            </w:r>
            <w:proofErr w:type="spellStart"/>
            <w:r w:rsidRPr="008F426D">
              <w:rPr>
                <w:rFonts w:hint="cs"/>
                <w:rtl/>
              </w:rPr>
              <w:t>הענין</w:t>
            </w:r>
            <w:proofErr w:type="spellEnd"/>
            <w:r w:rsidRPr="008F426D">
              <w:rPr>
                <w:rFonts w:hint="cs"/>
                <w:rtl/>
              </w:rPr>
              <w:t>.</w:t>
            </w:r>
          </w:p>
        </w:tc>
      </w:tr>
      <w:tr w:rsidR="005057D0" w14:paraId="581D208C" w14:textId="77777777">
        <w:trPr>
          <w:cantSplit/>
          <w:trHeight w:val="60"/>
        </w:trPr>
        <w:tc>
          <w:tcPr>
            <w:tcW w:w="1871" w:type="dxa"/>
          </w:tcPr>
          <w:p w14:paraId="020816B4" w14:textId="77777777" w:rsidR="005057D0" w:rsidRDefault="005057D0">
            <w:pPr>
              <w:pStyle w:val="TableSideHeading"/>
            </w:pPr>
          </w:p>
        </w:tc>
        <w:tc>
          <w:tcPr>
            <w:tcW w:w="624" w:type="dxa"/>
          </w:tcPr>
          <w:p w14:paraId="0B5BB343" w14:textId="77777777" w:rsidR="005057D0" w:rsidRDefault="005057D0">
            <w:pPr>
              <w:pStyle w:val="TableText"/>
            </w:pPr>
          </w:p>
        </w:tc>
        <w:tc>
          <w:tcPr>
            <w:tcW w:w="624" w:type="dxa"/>
          </w:tcPr>
          <w:p w14:paraId="57F8C9D6" w14:textId="77777777" w:rsidR="005057D0" w:rsidRDefault="005057D0">
            <w:pPr>
              <w:pStyle w:val="TableText"/>
            </w:pPr>
          </w:p>
        </w:tc>
        <w:tc>
          <w:tcPr>
            <w:tcW w:w="624" w:type="dxa"/>
          </w:tcPr>
          <w:p w14:paraId="7E6405EC" w14:textId="77777777" w:rsidR="005057D0" w:rsidRDefault="005057D0">
            <w:pPr>
              <w:pStyle w:val="TableText"/>
            </w:pPr>
          </w:p>
        </w:tc>
        <w:tc>
          <w:tcPr>
            <w:tcW w:w="624" w:type="dxa"/>
          </w:tcPr>
          <w:p w14:paraId="5E4434EE" w14:textId="77777777" w:rsidR="005057D0" w:rsidRDefault="005057D0">
            <w:pPr>
              <w:pStyle w:val="TableText"/>
            </w:pPr>
          </w:p>
        </w:tc>
        <w:tc>
          <w:tcPr>
            <w:tcW w:w="624" w:type="dxa"/>
          </w:tcPr>
          <w:p w14:paraId="79AF7496" w14:textId="77777777" w:rsidR="005057D0" w:rsidRDefault="005057D0">
            <w:pPr>
              <w:pStyle w:val="TableText"/>
            </w:pPr>
          </w:p>
        </w:tc>
        <w:tc>
          <w:tcPr>
            <w:tcW w:w="4650" w:type="dxa"/>
            <w:gridSpan w:val="2"/>
          </w:tcPr>
          <w:p w14:paraId="5B188E6F" w14:textId="4C1FCC9E" w:rsidR="005057D0" w:rsidRDefault="005057D0" w:rsidP="00C57EB2">
            <w:pPr>
              <w:pStyle w:val="TableBlock"/>
              <w:numPr>
                <w:ilvl w:val="0"/>
                <w:numId w:val="25"/>
              </w:numPr>
              <w:tabs>
                <w:tab w:val="left" w:pos="624"/>
              </w:tabs>
            </w:pPr>
            <w:r w:rsidRPr="005057D0">
              <w:rPr>
                <w:rFonts w:hint="cs"/>
                <w:rtl/>
              </w:rPr>
              <w:t>בית המשפט רשאי, במקרים מיוחדים ומטעמים מיוחדים שיירשמו –</w:t>
            </w:r>
          </w:p>
        </w:tc>
      </w:tr>
      <w:tr w:rsidR="005057D0" w14:paraId="3E9ED637" w14:textId="77777777">
        <w:trPr>
          <w:cantSplit/>
          <w:trHeight w:val="60"/>
        </w:trPr>
        <w:tc>
          <w:tcPr>
            <w:tcW w:w="1871" w:type="dxa"/>
          </w:tcPr>
          <w:p w14:paraId="624E85B3" w14:textId="77777777" w:rsidR="005057D0" w:rsidRDefault="005057D0">
            <w:pPr>
              <w:pStyle w:val="TableSideHeading"/>
            </w:pPr>
          </w:p>
        </w:tc>
        <w:tc>
          <w:tcPr>
            <w:tcW w:w="624" w:type="dxa"/>
          </w:tcPr>
          <w:p w14:paraId="796C0415" w14:textId="77777777" w:rsidR="005057D0" w:rsidRDefault="005057D0">
            <w:pPr>
              <w:pStyle w:val="TableText"/>
            </w:pPr>
          </w:p>
        </w:tc>
        <w:tc>
          <w:tcPr>
            <w:tcW w:w="624" w:type="dxa"/>
          </w:tcPr>
          <w:p w14:paraId="3FE59496" w14:textId="77777777" w:rsidR="005057D0" w:rsidRDefault="005057D0">
            <w:pPr>
              <w:pStyle w:val="TableText"/>
            </w:pPr>
          </w:p>
        </w:tc>
        <w:tc>
          <w:tcPr>
            <w:tcW w:w="624" w:type="dxa"/>
          </w:tcPr>
          <w:p w14:paraId="65821B2D" w14:textId="77777777" w:rsidR="005057D0" w:rsidRDefault="005057D0">
            <w:pPr>
              <w:pStyle w:val="TableText"/>
            </w:pPr>
          </w:p>
        </w:tc>
        <w:tc>
          <w:tcPr>
            <w:tcW w:w="624" w:type="dxa"/>
          </w:tcPr>
          <w:p w14:paraId="4B5981A3" w14:textId="77777777" w:rsidR="005057D0" w:rsidRDefault="005057D0">
            <w:pPr>
              <w:pStyle w:val="TableText"/>
            </w:pPr>
          </w:p>
        </w:tc>
        <w:tc>
          <w:tcPr>
            <w:tcW w:w="624" w:type="dxa"/>
          </w:tcPr>
          <w:p w14:paraId="43CF2075" w14:textId="77777777" w:rsidR="005057D0" w:rsidRDefault="005057D0">
            <w:pPr>
              <w:pStyle w:val="TableText"/>
            </w:pPr>
          </w:p>
        </w:tc>
        <w:tc>
          <w:tcPr>
            <w:tcW w:w="624" w:type="dxa"/>
          </w:tcPr>
          <w:p w14:paraId="7C1D04F6" w14:textId="77777777" w:rsidR="005057D0" w:rsidRDefault="005057D0">
            <w:pPr>
              <w:pStyle w:val="TableText"/>
            </w:pPr>
          </w:p>
        </w:tc>
        <w:tc>
          <w:tcPr>
            <w:tcW w:w="4026" w:type="dxa"/>
          </w:tcPr>
          <w:p w14:paraId="0054571E" w14:textId="02A3FA0A" w:rsidR="005057D0" w:rsidRDefault="005057D0" w:rsidP="00B819B4">
            <w:pPr>
              <w:pStyle w:val="TableBlock"/>
              <w:numPr>
                <w:ilvl w:val="0"/>
                <w:numId w:val="27"/>
              </w:numPr>
              <w:tabs>
                <w:tab w:val="left" w:pos="624"/>
              </w:tabs>
            </w:pPr>
            <w:r w:rsidRPr="00406DAD">
              <w:rPr>
                <w:rFonts w:hint="cs"/>
                <w:rtl/>
              </w:rPr>
              <w:t xml:space="preserve">לפסוק גמול </w:t>
            </w:r>
            <w:r w:rsidR="00011443" w:rsidRPr="00406DAD">
              <w:rPr>
                <w:rFonts w:hint="cs"/>
                <w:rtl/>
              </w:rPr>
              <w:t xml:space="preserve">למבקש או </w:t>
            </w:r>
            <w:r w:rsidRPr="00406DAD">
              <w:rPr>
                <w:rFonts w:hint="cs"/>
                <w:rtl/>
              </w:rPr>
              <w:t xml:space="preserve">לתובע המייצג ושכר טרחה לבא כוחו </w:t>
            </w:r>
            <w:r w:rsidR="00B819B4">
              <w:rPr>
                <w:rFonts w:hint="cs"/>
                <w:rtl/>
              </w:rPr>
              <w:t>ה</w:t>
            </w:r>
            <w:r w:rsidR="0020144A">
              <w:rPr>
                <w:rFonts w:hint="cs"/>
                <w:rtl/>
              </w:rPr>
              <w:t>ג</w:t>
            </w:r>
            <w:r w:rsidR="00B819B4">
              <w:rPr>
                <w:rFonts w:hint="cs"/>
                <w:rtl/>
              </w:rPr>
              <w:t>בוה מהקבוע</w:t>
            </w:r>
            <w:r w:rsidRPr="00406DAD">
              <w:rPr>
                <w:rFonts w:hint="cs"/>
                <w:rtl/>
              </w:rPr>
              <w:t xml:space="preserve"> בפרט </w:t>
            </w:r>
            <w:r w:rsidR="0099204C" w:rsidRPr="00406DAD">
              <w:rPr>
                <w:rFonts w:hint="cs"/>
                <w:rtl/>
              </w:rPr>
              <w:t>2</w:t>
            </w:r>
            <w:r w:rsidRPr="00406DAD">
              <w:rPr>
                <w:rFonts w:hint="cs"/>
                <w:rtl/>
              </w:rPr>
              <w:t xml:space="preserve"> </w:t>
            </w:r>
            <w:r w:rsidR="00913A8F" w:rsidRPr="00406DAD">
              <w:rPr>
                <w:rFonts w:hint="cs"/>
                <w:rtl/>
              </w:rPr>
              <w:t>ב</w:t>
            </w:r>
            <w:r w:rsidRPr="00406DAD">
              <w:rPr>
                <w:rFonts w:hint="cs"/>
                <w:rtl/>
              </w:rPr>
              <w:t xml:space="preserve">תוספת החמישית </w:t>
            </w:r>
            <w:r w:rsidR="00956819" w:rsidRPr="00406DAD">
              <w:rPr>
                <w:rFonts w:hint="cs"/>
                <w:rtl/>
              </w:rPr>
              <w:t>אם מצא כי הדבר מוצדק בשל חשיבותה</w:t>
            </w:r>
            <w:r w:rsidR="00956819">
              <w:rPr>
                <w:rFonts w:hint="cs"/>
                <w:rtl/>
              </w:rPr>
              <w:t xml:space="preserve"> וחידושה של התובענה הייצוגית</w:t>
            </w:r>
            <w:r w:rsidRPr="005057D0">
              <w:rPr>
                <w:rFonts w:hint="cs"/>
                <w:rtl/>
              </w:rPr>
              <w:t>;</w:t>
            </w:r>
          </w:p>
        </w:tc>
      </w:tr>
      <w:tr w:rsidR="00B819B4" w14:paraId="150C36AE" w14:textId="77777777">
        <w:trPr>
          <w:cantSplit/>
          <w:trHeight w:val="60"/>
        </w:trPr>
        <w:tc>
          <w:tcPr>
            <w:tcW w:w="1871" w:type="dxa"/>
          </w:tcPr>
          <w:p w14:paraId="268F23A6" w14:textId="77777777" w:rsidR="00B819B4" w:rsidRDefault="00B819B4">
            <w:pPr>
              <w:pStyle w:val="TableSideHeading"/>
            </w:pPr>
          </w:p>
        </w:tc>
        <w:tc>
          <w:tcPr>
            <w:tcW w:w="624" w:type="dxa"/>
          </w:tcPr>
          <w:p w14:paraId="5C576B39" w14:textId="77777777" w:rsidR="00B819B4" w:rsidRDefault="00B819B4" w:rsidP="00B819B4">
            <w:pPr>
              <w:pStyle w:val="TableText"/>
            </w:pPr>
          </w:p>
        </w:tc>
        <w:tc>
          <w:tcPr>
            <w:tcW w:w="624" w:type="dxa"/>
          </w:tcPr>
          <w:p w14:paraId="20B95455" w14:textId="77777777" w:rsidR="00B819B4" w:rsidRDefault="00B819B4">
            <w:pPr>
              <w:pStyle w:val="TableText"/>
            </w:pPr>
          </w:p>
        </w:tc>
        <w:tc>
          <w:tcPr>
            <w:tcW w:w="624" w:type="dxa"/>
          </w:tcPr>
          <w:p w14:paraId="00E50691" w14:textId="77777777" w:rsidR="00B819B4" w:rsidRDefault="00B819B4">
            <w:pPr>
              <w:pStyle w:val="TableText"/>
            </w:pPr>
          </w:p>
        </w:tc>
        <w:tc>
          <w:tcPr>
            <w:tcW w:w="624" w:type="dxa"/>
          </w:tcPr>
          <w:p w14:paraId="6D39994D" w14:textId="77777777" w:rsidR="00B819B4" w:rsidRDefault="00B819B4">
            <w:pPr>
              <w:pStyle w:val="TableText"/>
            </w:pPr>
          </w:p>
        </w:tc>
        <w:tc>
          <w:tcPr>
            <w:tcW w:w="624" w:type="dxa"/>
          </w:tcPr>
          <w:p w14:paraId="55BB1AC1" w14:textId="77777777" w:rsidR="00B819B4" w:rsidRDefault="00B819B4">
            <w:pPr>
              <w:pStyle w:val="TableText"/>
            </w:pPr>
          </w:p>
        </w:tc>
        <w:tc>
          <w:tcPr>
            <w:tcW w:w="624" w:type="dxa"/>
          </w:tcPr>
          <w:p w14:paraId="05FE4631" w14:textId="77777777" w:rsidR="00B819B4" w:rsidRDefault="00B819B4">
            <w:pPr>
              <w:pStyle w:val="TableText"/>
            </w:pPr>
          </w:p>
        </w:tc>
        <w:tc>
          <w:tcPr>
            <w:tcW w:w="4026" w:type="dxa"/>
          </w:tcPr>
          <w:p w14:paraId="06D784BF" w14:textId="3405AA5F" w:rsidR="00B819B4" w:rsidRPr="00406DAD" w:rsidRDefault="00B819B4" w:rsidP="00B819B4">
            <w:pPr>
              <w:pStyle w:val="TableBlock"/>
              <w:numPr>
                <w:ilvl w:val="0"/>
                <w:numId w:val="27"/>
              </w:numPr>
              <w:tabs>
                <w:tab w:val="left" w:pos="624"/>
              </w:tabs>
              <w:rPr>
                <w:rtl/>
              </w:rPr>
            </w:pPr>
            <w:r>
              <w:rPr>
                <w:rFonts w:hint="cs"/>
                <w:rtl/>
              </w:rPr>
              <w:t xml:space="preserve">לפסוק </w:t>
            </w:r>
            <w:r w:rsidRPr="00406DAD">
              <w:rPr>
                <w:rFonts w:hint="cs"/>
                <w:rtl/>
              </w:rPr>
              <w:t xml:space="preserve">גמול למבקש או לתובע המייצג ושכר טרחה לבא כוחו </w:t>
            </w:r>
            <w:r>
              <w:rPr>
                <w:rFonts w:hint="cs"/>
                <w:rtl/>
              </w:rPr>
              <w:t>הנמוך מהקבוע</w:t>
            </w:r>
            <w:r w:rsidRPr="00406DAD">
              <w:rPr>
                <w:rFonts w:hint="cs"/>
                <w:rtl/>
              </w:rPr>
              <w:t xml:space="preserve"> בפרט 2 בתוספת החמישית אם מצא כ</w:t>
            </w:r>
            <w:r>
              <w:rPr>
                <w:rFonts w:hint="cs"/>
                <w:rtl/>
              </w:rPr>
              <w:t xml:space="preserve">י השיעורים הקבועים כאמור לעיל, </w:t>
            </w:r>
            <w:r w:rsidR="005C1E54">
              <w:rPr>
                <w:rFonts w:hint="cs"/>
                <w:rtl/>
              </w:rPr>
              <w:t>עלולים ל</w:t>
            </w:r>
            <w:r w:rsidR="00910D13">
              <w:rPr>
                <w:rFonts w:hint="cs"/>
                <w:rtl/>
              </w:rPr>
              <w:t>הביא ל</w:t>
            </w:r>
            <w:r w:rsidR="005C1E54">
              <w:rPr>
                <w:rFonts w:hint="cs"/>
                <w:rtl/>
              </w:rPr>
              <w:t xml:space="preserve">חוסר צדק </w:t>
            </w:r>
            <w:r>
              <w:rPr>
                <w:rFonts w:hint="cs"/>
                <w:rtl/>
              </w:rPr>
              <w:t>בנסיבות העניין</w:t>
            </w:r>
            <w:r w:rsidR="0020144A">
              <w:rPr>
                <w:rFonts w:hint="cs"/>
                <w:rtl/>
              </w:rPr>
              <w:t>;</w:t>
            </w:r>
          </w:p>
        </w:tc>
      </w:tr>
      <w:tr w:rsidR="005057D0" w14:paraId="1337772A" w14:textId="77777777">
        <w:trPr>
          <w:cantSplit/>
          <w:trHeight w:val="60"/>
        </w:trPr>
        <w:tc>
          <w:tcPr>
            <w:tcW w:w="1871" w:type="dxa"/>
          </w:tcPr>
          <w:p w14:paraId="15F16398" w14:textId="77777777" w:rsidR="005057D0" w:rsidRDefault="005057D0">
            <w:pPr>
              <w:pStyle w:val="TableSideHeading"/>
            </w:pPr>
          </w:p>
        </w:tc>
        <w:tc>
          <w:tcPr>
            <w:tcW w:w="624" w:type="dxa"/>
          </w:tcPr>
          <w:p w14:paraId="68867A75" w14:textId="77777777" w:rsidR="005057D0" w:rsidRDefault="005057D0" w:rsidP="005057D0">
            <w:pPr>
              <w:pStyle w:val="TableText"/>
            </w:pPr>
          </w:p>
        </w:tc>
        <w:tc>
          <w:tcPr>
            <w:tcW w:w="624" w:type="dxa"/>
          </w:tcPr>
          <w:p w14:paraId="0A14DC35" w14:textId="77777777" w:rsidR="005057D0" w:rsidRDefault="005057D0">
            <w:pPr>
              <w:pStyle w:val="TableText"/>
            </w:pPr>
          </w:p>
        </w:tc>
        <w:tc>
          <w:tcPr>
            <w:tcW w:w="624" w:type="dxa"/>
          </w:tcPr>
          <w:p w14:paraId="5D50A0D6" w14:textId="77777777" w:rsidR="005057D0" w:rsidRDefault="005057D0">
            <w:pPr>
              <w:pStyle w:val="TableText"/>
            </w:pPr>
          </w:p>
        </w:tc>
        <w:tc>
          <w:tcPr>
            <w:tcW w:w="624" w:type="dxa"/>
          </w:tcPr>
          <w:p w14:paraId="79372BCC" w14:textId="77777777" w:rsidR="005057D0" w:rsidRDefault="005057D0">
            <w:pPr>
              <w:pStyle w:val="TableText"/>
            </w:pPr>
          </w:p>
        </w:tc>
        <w:tc>
          <w:tcPr>
            <w:tcW w:w="624" w:type="dxa"/>
          </w:tcPr>
          <w:p w14:paraId="54982D31" w14:textId="77777777" w:rsidR="005057D0" w:rsidRDefault="005057D0">
            <w:pPr>
              <w:pStyle w:val="TableText"/>
            </w:pPr>
          </w:p>
        </w:tc>
        <w:tc>
          <w:tcPr>
            <w:tcW w:w="624" w:type="dxa"/>
          </w:tcPr>
          <w:p w14:paraId="6D0A82D8" w14:textId="77777777" w:rsidR="005057D0" w:rsidRDefault="005057D0">
            <w:pPr>
              <w:pStyle w:val="TableText"/>
            </w:pPr>
          </w:p>
        </w:tc>
        <w:tc>
          <w:tcPr>
            <w:tcW w:w="4026" w:type="dxa"/>
          </w:tcPr>
          <w:p w14:paraId="474A94B3" w14:textId="268770F0" w:rsidR="005057D0" w:rsidRPr="005057D0" w:rsidRDefault="005057D0" w:rsidP="00C57EB2">
            <w:pPr>
              <w:pStyle w:val="TableBlock"/>
              <w:numPr>
                <w:ilvl w:val="0"/>
                <w:numId w:val="27"/>
              </w:numPr>
              <w:tabs>
                <w:tab w:val="left" w:pos="624"/>
              </w:tabs>
              <w:rPr>
                <w:rtl/>
              </w:rPr>
            </w:pPr>
            <w:r w:rsidRPr="005057D0">
              <w:rPr>
                <w:rFonts w:hint="cs"/>
                <w:rtl/>
              </w:rPr>
              <w:t>לפסוק גמול לארגון שהשתתף בדיונים בתובענה הייצוגית לפי הוראות סעיף 15, אם מצא שהדבר מוצדק לאור הטרחה שטרח והתרומה שתרם בהשתתפותו בדיונים כאמור.</w:t>
            </w:r>
          </w:p>
        </w:tc>
      </w:tr>
      <w:tr w:rsidR="005057D0" w14:paraId="15F11AFF" w14:textId="77777777">
        <w:trPr>
          <w:cantSplit/>
          <w:trHeight w:val="60"/>
        </w:trPr>
        <w:tc>
          <w:tcPr>
            <w:tcW w:w="1871" w:type="dxa"/>
          </w:tcPr>
          <w:p w14:paraId="3E5B492B" w14:textId="77777777" w:rsidR="005057D0" w:rsidRDefault="005057D0">
            <w:pPr>
              <w:pStyle w:val="TableSideHeading"/>
            </w:pPr>
          </w:p>
        </w:tc>
        <w:tc>
          <w:tcPr>
            <w:tcW w:w="624" w:type="dxa"/>
          </w:tcPr>
          <w:p w14:paraId="4F12BCAE" w14:textId="77777777" w:rsidR="005057D0" w:rsidRDefault="005057D0">
            <w:pPr>
              <w:pStyle w:val="TableText"/>
            </w:pPr>
          </w:p>
        </w:tc>
        <w:tc>
          <w:tcPr>
            <w:tcW w:w="624" w:type="dxa"/>
          </w:tcPr>
          <w:p w14:paraId="1CDD32AF" w14:textId="77777777" w:rsidR="005057D0" w:rsidRDefault="005057D0">
            <w:pPr>
              <w:pStyle w:val="TableText"/>
            </w:pPr>
          </w:p>
        </w:tc>
        <w:tc>
          <w:tcPr>
            <w:tcW w:w="624" w:type="dxa"/>
          </w:tcPr>
          <w:p w14:paraId="6CEE2463" w14:textId="77777777" w:rsidR="005057D0" w:rsidRDefault="005057D0">
            <w:pPr>
              <w:pStyle w:val="TableText"/>
            </w:pPr>
          </w:p>
        </w:tc>
        <w:tc>
          <w:tcPr>
            <w:tcW w:w="624" w:type="dxa"/>
          </w:tcPr>
          <w:p w14:paraId="06F6C861" w14:textId="77777777" w:rsidR="005057D0" w:rsidRDefault="005057D0">
            <w:pPr>
              <w:pStyle w:val="TableText"/>
            </w:pPr>
          </w:p>
        </w:tc>
        <w:tc>
          <w:tcPr>
            <w:tcW w:w="624" w:type="dxa"/>
          </w:tcPr>
          <w:p w14:paraId="4471DF9E" w14:textId="77777777" w:rsidR="005057D0" w:rsidRDefault="005057D0">
            <w:pPr>
              <w:pStyle w:val="TableText"/>
            </w:pPr>
          </w:p>
        </w:tc>
        <w:tc>
          <w:tcPr>
            <w:tcW w:w="4650" w:type="dxa"/>
            <w:gridSpan w:val="2"/>
          </w:tcPr>
          <w:p w14:paraId="5F9C9AF2" w14:textId="1042CED1" w:rsidR="005057D0" w:rsidRDefault="005057D0" w:rsidP="00C57EB2">
            <w:pPr>
              <w:pStyle w:val="TableBlock"/>
              <w:numPr>
                <w:ilvl w:val="0"/>
                <w:numId w:val="25"/>
              </w:numPr>
              <w:tabs>
                <w:tab w:val="left" w:pos="624"/>
              </w:tabs>
            </w:pPr>
            <w:r w:rsidRPr="005057D0">
              <w:rPr>
                <w:rFonts w:hint="cs"/>
                <w:rtl/>
              </w:rPr>
              <w:t xml:space="preserve">בית המשפט יקבע את החלוקה בין הגמול </w:t>
            </w:r>
            <w:r w:rsidR="00011443">
              <w:rPr>
                <w:rFonts w:hint="cs"/>
                <w:rtl/>
              </w:rPr>
              <w:t xml:space="preserve">למבקש או </w:t>
            </w:r>
            <w:r w:rsidRPr="005057D0">
              <w:rPr>
                <w:rFonts w:hint="cs"/>
                <w:rtl/>
              </w:rPr>
              <w:t xml:space="preserve">לתובע המייצג לבין שכר הטרחה לבא כוחו בהתאם להתרשמותו מניהול ההליך. לצורך כך, רשאי בית המשפט להורות </w:t>
            </w:r>
            <w:r w:rsidR="00011443">
              <w:rPr>
                <w:rFonts w:hint="cs"/>
                <w:rtl/>
              </w:rPr>
              <w:t xml:space="preserve">למבקש או </w:t>
            </w:r>
            <w:r w:rsidRPr="005057D0">
              <w:rPr>
                <w:rFonts w:hint="cs"/>
                <w:rtl/>
              </w:rPr>
              <w:t>לתובע המייצג ובא כוחו להציג בפניו את הסכם הייצוג ב</w:t>
            </w:r>
            <w:r w:rsidR="003C7A7A">
              <w:rPr>
                <w:rFonts w:hint="cs"/>
                <w:rtl/>
              </w:rPr>
              <w:t>י</w:t>
            </w:r>
            <w:r w:rsidRPr="005057D0">
              <w:rPr>
                <w:rFonts w:hint="cs"/>
                <w:rtl/>
              </w:rPr>
              <w:t xml:space="preserve">ניהם. </w:t>
            </w:r>
          </w:p>
        </w:tc>
      </w:tr>
      <w:tr w:rsidR="008F426D" w14:paraId="77BBA0AE" w14:textId="77777777">
        <w:trPr>
          <w:cantSplit/>
          <w:trHeight w:val="60"/>
        </w:trPr>
        <w:tc>
          <w:tcPr>
            <w:tcW w:w="1871" w:type="dxa"/>
          </w:tcPr>
          <w:p w14:paraId="05190833" w14:textId="77777777" w:rsidR="008F426D" w:rsidRDefault="008F426D">
            <w:pPr>
              <w:pStyle w:val="TableSideHeading"/>
            </w:pPr>
          </w:p>
        </w:tc>
        <w:tc>
          <w:tcPr>
            <w:tcW w:w="624" w:type="dxa"/>
          </w:tcPr>
          <w:p w14:paraId="2C5C440D" w14:textId="77777777" w:rsidR="008F426D" w:rsidRDefault="008F426D" w:rsidP="008F426D">
            <w:pPr>
              <w:pStyle w:val="TableText"/>
            </w:pPr>
          </w:p>
        </w:tc>
        <w:tc>
          <w:tcPr>
            <w:tcW w:w="624" w:type="dxa"/>
          </w:tcPr>
          <w:p w14:paraId="6AAB710D" w14:textId="77777777" w:rsidR="008F426D" w:rsidRDefault="008F426D">
            <w:pPr>
              <w:pStyle w:val="TableText"/>
            </w:pPr>
          </w:p>
        </w:tc>
        <w:tc>
          <w:tcPr>
            <w:tcW w:w="624" w:type="dxa"/>
          </w:tcPr>
          <w:p w14:paraId="4E1CE0C1" w14:textId="77777777" w:rsidR="008F426D" w:rsidRDefault="008F426D">
            <w:pPr>
              <w:pStyle w:val="TableText"/>
            </w:pPr>
          </w:p>
        </w:tc>
        <w:tc>
          <w:tcPr>
            <w:tcW w:w="624" w:type="dxa"/>
          </w:tcPr>
          <w:p w14:paraId="44E72E92" w14:textId="77777777" w:rsidR="008F426D" w:rsidRDefault="008F426D">
            <w:pPr>
              <w:pStyle w:val="TableText"/>
            </w:pPr>
          </w:p>
        </w:tc>
        <w:tc>
          <w:tcPr>
            <w:tcW w:w="624" w:type="dxa"/>
          </w:tcPr>
          <w:p w14:paraId="73F26470" w14:textId="77777777" w:rsidR="008F426D" w:rsidRDefault="008F426D">
            <w:pPr>
              <w:pStyle w:val="TableText"/>
            </w:pPr>
          </w:p>
        </w:tc>
        <w:tc>
          <w:tcPr>
            <w:tcW w:w="4650" w:type="dxa"/>
            <w:gridSpan w:val="2"/>
          </w:tcPr>
          <w:p w14:paraId="35040EE1" w14:textId="79D35B11" w:rsidR="008F426D" w:rsidRPr="00406DAD" w:rsidRDefault="008F426D" w:rsidP="00C57EB2">
            <w:pPr>
              <w:pStyle w:val="TableBlock"/>
              <w:numPr>
                <w:ilvl w:val="0"/>
                <w:numId w:val="25"/>
              </w:numPr>
              <w:tabs>
                <w:tab w:val="left" w:pos="624"/>
              </w:tabs>
              <w:rPr>
                <w:rtl/>
              </w:rPr>
            </w:pPr>
            <w:r w:rsidRPr="00406DAD">
              <w:rPr>
                <w:rFonts w:hint="cs"/>
                <w:rtl/>
              </w:rPr>
              <w:t xml:space="preserve">לצורך קביעת הגמול </w:t>
            </w:r>
            <w:r w:rsidR="00011443" w:rsidRPr="00406DAD">
              <w:rPr>
                <w:rFonts w:hint="cs"/>
                <w:rtl/>
              </w:rPr>
              <w:t xml:space="preserve">למבקש או </w:t>
            </w:r>
            <w:r w:rsidRPr="00406DAD">
              <w:rPr>
                <w:rFonts w:hint="cs"/>
                <w:rtl/>
              </w:rPr>
              <w:t xml:space="preserve">לתובע המייצג ושכר הטרחה לבא כוחו </w:t>
            </w:r>
            <w:r w:rsidR="0099204C" w:rsidRPr="00406DAD">
              <w:rPr>
                <w:rFonts w:hint="cs"/>
                <w:rtl/>
              </w:rPr>
              <w:t>ב</w:t>
            </w:r>
            <w:r w:rsidR="005C7C81" w:rsidRPr="00406DAD">
              <w:rPr>
                <w:rFonts w:hint="cs"/>
                <w:rtl/>
              </w:rPr>
              <w:t>תובענה לצו עשה</w:t>
            </w:r>
            <w:r w:rsidRPr="00406DAD">
              <w:rPr>
                <w:rFonts w:hint="cs"/>
                <w:rtl/>
              </w:rPr>
              <w:t xml:space="preserve">, בית המשפט </w:t>
            </w:r>
            <w:r w:rsidR="00301D60" w:rsidRPr="00406DAD">
              <w:rPr>
                <w:rFonts w:hint="cs"/>
                <w:rtl/>
              </w:rPr>
              <w:t xml:space="preserve">ישקול </w:t>
            </w:r>
            <w:r w:rsidRPr="00406DAD">
              <w:rPr>
                <w:rFonts w:hint="cs"/>
                <w:rtl/>
              </w:rPr>
              <w:t xml:space="preserve">את התועלת לחברי הקבוצה </w:t>
            </w:r>
            <w:r w:rsidR="001B40ED" w:rsidRPr="00406DAD">
              <w:rPr>
                <w:rFonts w:hint="cs"/>
                <w:rtl/>
              </w:rPr>
              <w:t xml:space="preserve">ולציבור </w:t>
            </w:r>
            <w:r w:rsidRPr="00406DAD">
              <w:rPr>
                <w:rFonts w:hint="cs"/>
                <w:rtl/>
              </w:rPr>
              <w:t xml:space="preserve">לצורך קביעת סכום הפיצוי אשר ממנו יקבע שיעור הגמול </w:t>
            </w:r>
            <w:r w:rsidR="00011443" w:rsidRPr="00406DAD">
              <w:rPr>
                <w:rFonts w:hint="cs"/>
                <w:rtl/>
              </w:rPr>
              <w:t xml:space="preserve">למבקש או </w:t>
            </w:r>
            <w:r w:rsidRPr="00406DAD">
              <w:rPr>
                <w:rFonts w:hint="cs"/>
                <w:rtl/>
              </w:rPr>
              <w:t xml:space="preserve">לתובע המייצג ושכר הטרחה לבא כוחו וזאת </w:t>
            </w:r>
            <w:r w:rsidR="00C309CB" w:rsidRPr="00406DAD">
              <w:rPr>
                <w:rFonts w:hint="cs"/>
                <w:rtl/>
              </w:rPr>
              <w:t xml:space="preserve">לפי </w:t>
            </w:r>
            <w:r w:rsidR="00802A1E" w:rsidRPr="00406DAD">
              <w:rPr>
                <w:rFonts w:hint="cs"/>
                <w:rtl/>
              </w:rPr>
              <w:t xml:space="preserve">התוספת </w:t>
            </w:r>
            <w:r w:rsidRPr="00406DAD">
              <w:rPr>
                <w:rFonts w:hint="cs"/>
                <w:rtl/>
              </w:rPr>
              <w:t>החמישית.</w:t>
            </w:r>
          </w:p>
        </w:tc>
      </w:tr>
      <w:tr w:rsidR="008F426D" w14:paraId="357F767E" w14:textId="77777777">
        <w:trPr>
          <w:cantSplit/>
          <w:trHeight w:val="60"/>
        </w:trPr>
        <w:tc>
          <w:tcPr>
            <w:tcW w:w="1871" w:type="dxa"/>
          </w:tcPr>
          <w:p w14:paraId="779884BC" w14:textId="77777777" w:rsidR="008F426D" w:rsidRDefault="008F426D">
            <w:pPr>
              <w:pStyle w:val="TableSideHeading"/>
            </w:pPr>
          </w:p>
        </w:tc>
        <w:tc>
          <w:tcPr>
            <w:tcW w:w="624" w:type="dxa"/>
          </w:tcPr>
          <w:p w14:paraId="31291FE7" w14:textId="77777777" w:rsidR="008F426D" w:rsidRDefault="008F426D" w:rsidP="008F426D">
            <w:pPr>
              <w:pStyle w:val="TableText"/>
            </w:pPr>
          </w:p>
        </w:tc>
        <w:tc>
          <w:tcPr>
            <w:tcW w:w="624" w:type="dxa"/>
          </w:tcPr>
          <w:p w14:paraId="11B9A149" w14:textId="77777777" w:rsidR="008F426D" w:rsidRDefault="008F426D">
            <w:pPr>
              <w:pStyle w:val="TableText"/>
            </w:pPr>
          </w:p>
        </w:tc>
        <w:tc>
          <w:tcPr>
            <w:tcW w:w="624" w:type="dxa"/>
          </w:tcPr>
          <w:p w14:paraId="196D221F" w14:textId="77777777" w:rsidR="008F426D" w:rsidRDefault="008F426D">
            <w:pPr>
              <w:pStyle w:val="TableText"/>
            </w:pPr>
          </w:p>
        </w:tc>
        <w:tc>
          <w:tcPr>
            <w:tcW w:w="624" w:type="dxa"/>
          </w:tcPr>
          <w:p w14:paraId="0AC2C65F" w14:textId="77777777" w:rsidR="008F426D" w:rsidRDefault="008F426D">
            <w:pPr>
              <w:pStyle w:val="TableText"/>
            </w:pPr>
          </w:p>
        </w:tc>
        <w:tc>
          <w:tcPr>
            <w:tcW w:w="624" w:type="dxa"/>
          </w:tcPr>
          <w:p w14:paraId="6D40EC72" w14:textId="77777777" w:rsidR="008F426D" w:rsidRDefault="008F426D">
            <w:pPr>
              <w:pStyle w:val="TableText"/>
            </w:pPr>
          </w:p>
        </w:tc>
        <w:tc>
          <w:tcPr>
            <w:tcW w:w="4650" w:type="dxa"/>
            <w:gridSpan w:val="2"/>
          </w:tcPr>
          <w:p w14:paraId="6EBBCB9F" w14:textId="4DE4B51D" w:rsidR="008F426D" w:rsidRPr="00406DAD" w:rsidRDefault="008F426D" w:rsidP="00C57EB2">
            <w:pPr>
              <w:pStyle w:val="TableBlock"/>
              <w:numPr>
                <w:ilvl w:val="0"/>
                <w:numId w:val="25"/>
              </w:numPr>
              <w:tabs>
                <w:tab w:val="left" w:pos="624"/>
              </w:tabs>
              <w:rPr>
                <w:rtl/>
              </w:rPr>
            </w:pPr>
            <w:r w:rsidRPr="00406DAD">
              <w:rPr>
                <w:rFonts w:hint="cs"/>
                <w:rtl/>
              </w:rPr>
              <w:t xml:space="preserve">מצא בית המשפט כי הבקשה לאישור או התובענה הייצוגית הסתיימה </w:t>
            </w:r>
            <w:r w:rsidR="00301D60" w:rsidRPr="00406DAD">
              <w:rPr>
                <w:rFonts w:hint="cs"/>
                <w:rtl/>
              </w:rPr>
              <w:t xml:space="preserve">בהסדר פשרה </w:t>
            </w:r>
            <w:r w:rsidRPr="00406DAD">
              <w:rPr>
                <w:rFonts w:hint="cs"/>
                <w:rtl/>
              </w:rPr>
              <w:t>ללא פיצוי בהתאם לסעיף 20(</w:t>
            </w:r>
            <w:r w:rsidR="0099204C" w:rsidRPr="00406DAD">
              <w:rPr>
                <w:rFonts w:hint="cs"/>
                <w:rtl/>
              </w:rPr>
              <w:t>א</w:t>
            </w:r>
            <w:r w:rsidRPr="00406DAD">
              <w:rPr>
                <w:rFonts w:hint="cs"/>
                <w:rtl/>
              </w:rPr>
              <w:t>) או 20(</w:t>
            </w:r>
            <w:r w:rsidR="0099204C" w:rsidRPr="00406DAD">
              <w:rPr>
                <w:rFonts w:hint="cs"/>
                <w:rtl/>
              </w:rPr>
              <w:t>ג</w:t>
            </w:r>
            <w:r w:rsidRPr="00406DAD">
              <w:rPr>
                <w:rFonts w:hint="cs"/>
                <w:rtl/>
              </w:rPr>
              <w:t xml:space="preserve">), והבקשה לאישור או התובענה הייצוגית לא הוגשה </w:t>
            </w:r>
            <w:r w:rsidR="008B5F7E" w:rsidRPr="00406DAD">
              <w:rPr>
                <w:rFonts w:hint="cs"/>
                <w:rtl/>
              </w:rPr>
              <w:t>כתביעה לצו עשה</w:t>
            </w:r>
            <w:r w:rsidRPr="00406DAD">
              <w:rPr>
                <w:rFonts w:hint="cs"/>
                <w:rtl/>
              </w:rPr>
              <w:t>, לא יפסוק גמול ל</w:t>
            </w:r>
            <w:r w:rsidR="00011443" w:rsidRPr="00406DAD">
              <w:rPr>
                <w:rFonts w:hint="cs"/>
                <w:rtl/>
              </w:rPr>
              <w:t>מבקש או ל</w:t>
            </w:r>
            <w:r w:rsidRPr="00406DAD">
              <w:rPr>
                <w:rFonts w:hint="cs"/>
                <w:rtl/>
              </w:rPr>
              <w:t>תובע המייצג ושכר טרחה לבא כוחו.</w:t>
            </w:r>
          </w:p>
        </w:tc>
      </w:tr>
      <w:tr w:rsidR="008F426D" w14:paraId="057F0C79" w14:textId="77777777">
        <w:trPr>
          <w:cantSplit/>
          <w:trHeight w:val="60"/>
        </w:trPr>
        <w:tc>
          <w:tcPr>
            <w:tcW w:w="1871" w:type="dxa"/>
          </w:tcPr>
          <w:p w14:paraId="5D83347C" w14:textId="77777777" w:rsidR="008F426D" w:rsidRDefault="008F426D">
            <w:pPr>
              <w:pStyle w:val="TableSideHeading"/>
            </w:pPr>
          </w:p>
        </w:tc>
        <w:tc>
          <w:tcPr>
            <w:tcW w:w="624" w:type="dxa"/>
          </w:tcPr>
          <w:p w14:paraId="0D816087" w14:textId="77777777" w:rsidR="008F426D" w:rsidRDefault="008F426D" w:rsidP="008F426D">
            <w:pPr>
              <w:pStyle w:val="TableText"/>
            </w:pPr>
          </w:p>
        </w:tc>
        <w:tc>
          <w:tcPr>
            <w:tcW w:w="624" w:type="dxa"/>
          </w:tcPr>
          <w:p w14:paraId="3760C89A" w14:textId="77777777" w:rsidR="008F426D" w:rsidRDefault="008F426D">
            <w:pPr>
              <w:pStyle w:val="TableText"/>
            </w:pPr>
          </w:p>
        </w:tc>
        <w:tc>
          <w:tcPr>
            <w:tcW w:w="624" w:type="dxa"/>
          </w:tcPr>
          <w:p w14:paraId="16FC8035" w14:textId="77777777" w:rsidR="008F426D" w:rsidRDefault="008F426D">
            <w:pPr>
              <w:pStyle w:val="TableText"/>
            </w:pPr>
          </w:p>
        </w:tc>
        <w:tc>
          <w:tcPr>
            <w:tcW w:w="624" w:type="dxa"/>
          </w:tcPr>
          <w:p w14:paraId="6FCF36EF" w14:textId="77777777" w:rsidR="008F426D" w:rsidRDefault="008F426D">
            <w:pPr>
              <w:pStyle w:val="TableText"/>
            </w:pPr>
          </w:p>
        </w:tc>
        <w:tc>
          <w:tcPr>
            <w:tcW w:w="624" w:type="dxa"/>
          </w:tcPr>
          <w:p w14:paraId="7B7B6C2D" w14:textId="77777777" w:rsidR="008F426D" w:rsidRDefault="008F426D">
            <w:pPr>
              <w:pStyle w:val="TableText"/>
            </w:pPr>
          </w:p>
        </w:tc>
        <w:tc>
          <w:tcPr>
            <w:tcW w:w="4650" w:type="dxa"/>
            <w:gridSpan w:val="2"/>
          </w:tcPr>
          <w:p w14:paraId="48F1F634" w14:textId="3C599FB9" w:rsidR="008F426D" w:rsidRPr="008F426D" w:rsidRDefault="008F426D" w:rsidP="00C57EB2">
            <w:pPr>
              <w:pStyle w:val="TableBlock"/>
              <w:numPr>
                <w:ilvl w:val="0"/>
                <w:numId w:val="25"/>
              </w:numPr>
              <w:tabs>
                <w:tab w:val="left" w:pos="624"/>
              </w:tabs>
              <w:rPr>
                <w:rtl/>
              </w:rPr>
            </w:pPr>
            <w:r w:rsidRPr="008F426D">
              <w:rPr>
                <w:rFonts w:hint="cs"/>
                <w:rtl/>
              </w:rPr>
              <w:t xml:space="preserve">בבקשה לאישור או בתובענה ייצוגית המתנהלת כנגד מספר נתבעים או במקום שבו מצא בית המשפט כי מוצדק היה </w:t>
            </w:r>
            <w:r w:rsidR="00427C65" w:rsidRPr="008F426D">
              <w:rPr>
                <w:rFonts w:hint="cs"/>
                <w:rtl/>
              </w:rPr>
              <w:t>ל</w:t>
            </w:r>
            <w:r w:rsidR="00427C65">
              <w:rPr>
                <w:rFonts w:hint="cs"/>
                <w:rtl/>
              </w:rPr>
              <w:t>הגיש</w:t>
            </w:r>
            <w:r w:rsidR="00427C65" w:rsidRPr="008F426D">
              <w:rPr>
                <w:rFonts w:hint="cs"/>
                <w:rtl/>
              </w:rPr>
              <w:t xml:space="preserve"> </w:t>
            </w:r>
            <w:r w:rsidRPr="008F426D">
              <w:rPr>
                <w:rFonts w:hint="cs"/>
                <w:rtl/>
              </w:rPr>
              <w:t xml:space="preserve">את הבקשות לאישור או התובענות הייצוגית נגד מספר נתבעים יחדיו, יקבע בית המשפט כי </w:t>
            </w:r>
            <w:r w:rsidRPr="00406DAD">
              <w:rPr>
                <w:rFonts w:hint="cs"/>
                <w:rtl/>
              </w:rPr>
              <w:t xml:space="preserve">סכומי הגמול </w:t>
            </w:r>
            <w:r w:rsidR="00011443" w:rsidRPr="00406DAD">
              <w:rPr>
                <w:rFonts w:hint="cs"/>
                <w:rtl/>
              </w:rPr>
              <w:t xml:space="preserve">למבקש או </w:t>
            </w:r>
            <w:r w:rsidRPr="00406DAD">
              <w:rPr>
                <w:rFonts w:hint="cs"/>
                <w:rtl/>
              </w:rPr>
              <w:t xml:space="preserve">לתובע המייצג ושכר הטרחה לבא כוחו יחושבו מסכום הפיצוי הכולל מכלל הנתבעים, </w:t>
            </w:r>
            <w:r w:rsidR="004918B1" w:rsidRPr="00406DAD">
              <w:rPr>
                <w:rFonts w:hint="cs"/>
                <w:rtl/>
              </w:rPr>
              <w:t>לפי</w:t>
            </w:r>
            <w:r w:rsidRPr="00406DAD">
              <w:rPr>
                <w:rFonts w:hint="cs"/>
                <w:rtl/>
              </w:rPr>
              <w:t xml:space="preserve"> </w:t>
            </w:r>
            <w:r w:rsidR="00427C65" w:rsidRPr="00406DAD">
              <w:rPr>
                <w:rFonts w:hint="cs"/>
                <w:rtl/>
              </w:rPr>
              <w:t xml:space="preserve">שיעור </w:t>
            </w:r>
            <w:r w:rsidRPr="00406DAD">
              <w:rPr>
                <w:rFonts w:hint="cs"/>
                <w:rtl/>
              </w:rPr>
              <w:t>הגמול ושכר הטרחה שנקבעו בתוספת החמישית, גם במקרים שבהם הוגשו בקשות לאישור</w:t>
            </w:r>
            <w:r w:rsidRPr="008F426D">
              <w:rPr>
                <w:rFonts w:hint="cs"/>
                <w:rtl/>
              </w:rPr>
              <w:t xml:space="preserve"> הסדרי פשרה מול כל נתבע בנפרד. ואולם, בית המשפט רשאי לקבוע </w:t>
            </w:r>
            <w:r w:rsidR="002A4147">
              <w:rPr>
                <w:rFonts w:hint="cs"/>
                <w:rtl/>
              </w:rPr>
              <w:t>אחרת</w:t>
            </w:r>
            <w:r w:rsidRPr="008F426D">
              <w:rPr>
                <w:rFonts w:hint="cs"/>
                <w:rtl/>
              </w:rPr>
              <w:t xml:space="preserve"> </w:t>
            </w:r>
            <w:r w:rsidR="00757F1F">
              <w:rPr>
                <w:rFonts w:hint="cs"/>
                <w:rtl/>
              </w:rPr>
              <w:t>אם סבר שנסיבות העניין מצדיקות זאת</w:t>
            </w:r>
            <w:r w:rsidRPr="008F426D">
              <w:rPr>
                <w:rFonts w:hint="cs"/>
                <w:rtl/>
              </w:rPr>
              <w:t>.</w:t>
            </w:r>
          </w:p>
        </w:tc>
      </w:tr>
      <w:tr w:rsidR="00141F13" w14:paraId="209FED85" w14:textId="77777777">
        <w:trPr>
          <w:cantSplit/>
          <w:trHeight w:val="60"/>
        </w:trPr>
        <w:tc>
          <w:tcPr>
            <w:tcW w:w="1871" w:type="dxa"/>
          </w:tcPr>
          <w:p w14:paraId="0DF9AABF" w14:textId="111B581D" w:rsidR="00141F13" w:rsidRDefault="00141F13" w:rsidP="007E751D">
            <w:pPr>
              <w:pStyle w:val="TableSideHeading"/>
              <w:keepLines w:val="0"/>
            </w:pPr>
            <w:r>
              <w:rPr>
                <w:rFonts w:hint="cs"/>
                <w:rtl/>
              </w:rPr>
              <w:t>הוספת סעיף 23א</w:t>
            </w:r>
          </w:p>
        </w:tc>
        <w:tc>
          <w:tcPr>
            <w:tcW w:w="624" w:type="dxa"/>
          </w:tcPr>
          <w:p w14:paraId="3E1810AB" w14:textId="77777777" w:rsidR="00141F13" w:rsidRDefault="00141F13" w:rsidP="00141F13">
            <w:pPr>
              <w:pStyle w:val="TableText"/>
              <w:keepLines w:val="0"/>
              <w:numPr>
                <w:ilvl w:val="0"/>
                <w:numId w:val="2"/>
              </w:numPr>
            </w:pPr>
          </w:p>
        </w:tc>
        <w:tc>
          <w:tcPr>
            <w:tcW w:w="7146" w:type="dxa"/>
            <w:gridSpan w:val="6"/>
          </w:tcPr>
          <w:p w14:paraId="3C443B33" w14:textId="00C0B737" w:rsidR="00141F13" w:rsidRPr="00C34DE2" w:rsidRDefault="00141F13" w:rsidP="007E751D">
            <w:pPr>
              <w:pStyle w:val="TableBlock"/>
              <w:keepLines w:val="0"/>
            </w:pPr>
            <w:r>
              <w:rPr>
                <w:rFonts w:hint="cs"/>
                <w:rtl/>
              </w:rPr>
              <w:t>אחרי סעיף 23 לחוק העיקרי יבוא:</w:t>
            </w:r>
          </w:p>
        </w:tc>
      </w:tr>
      <w:tr w:rsidR="00141F13" w14:paraId="2D131551" w14:textId="77777777">
        <w:trPr>
          <w:cantSplit/>
          <w:trHeight w:val="60"/>
        </w:trPr>
        <w:tc>
          <w:tcPr>
            <w:tcW w:w="1871" w:type="dxa"/>
          </w:tcPr>
          <w:p w14:paraId="7C416D5A" w14:textId="77777777" w:rsidR="00141F13" w:rsidRDefault="00141F13">
            <w:pPr>
              <w:pStyle w:val="TableSideHeading"/>
              <w:keepLines w:val="0"/>
            </w:pPr>
          </w:p>
        </w:tc>
        <w:tc>
          <w:tcPr>
            <w:tcW w:w="624" w:type="dxa"/>
          </w:tcPr>
          <w:p w14:paraId="750D149F" w14:textId="77777777" w:rsidR="00141F13" w:rsidRDefault="00141F13">
            <w:pPr>
              <w:pStyle w:val="TableText"/>
              <w:keepLines w:val="0"/>
            </w:pPr>
          </w:p>
        </w:tc>
        <w:tc>
          <w:tcPr>
            <w:tcW w:w="1872" w:type="dxa"/>
            <w:gridSpan w:val="3"/>
          </w:tcPr>
          <w:p w14:paraId="11DD17F8" w14:textId="658FE8AA" w:rsidR="00141F13" w:rsidRDefault="00141F13">
            <w:pPr>
              <w:pStyle w:val="TableInnerSideHeading"/>
            </w:pPr>
            <w:r>
              <w:rPr>
                <w:rFonts w:hint="cs"/>
                <w:rtl/>
              </w:rPr>
              <w:t>"הוצאות</w:t>
            </w:r>
          </w:p>
        </w:tc>
        <w:tc>
          <w:tcPr>
            <w:tcW w:w="624" w:type="dxa"/>
          </w:tcPr>
          <w:p w14:paraId="69ED307A" w14:textId="65E4F072" w:rsidR="00141F13" w:rsidRDefault="00141F13">
            <w:pPr>
              <w:pStyle w:val="TableText"/>
            </w:pPr>
            <w:r>
              <w:rPr>
                <w:rFonts w:hint="cs"/>
                <w:rtl/>
              </w:rPr>
              <w:t>23א.</w:t>
            </w:r>
          </w:p>
        </w:tc>
        <w:tc>
          <w:tcPr>
            <w:tcW w:w="4650" w:type="dxa"/>
            <w:gridSpan w:val="2"/>
          </w:tcPr>
          <w:p w14:paraId="4B6998AD" w14:textId="4DA3EE98" w:rsidR="00141F13" w:rsidRDefault="00141F13" w:rsidP="00141F13">
            <w:pPr>
              <w:pStyle w:val="TableBlock"/>
            </w:pPr>
            <w:r w:rsidRPr="00141F13">
              <w:rPr>
                <w:rFonts w:hint="cs"/>
                <w:rtl/>
              </w:rPr>
              <w:t xml:space="preserve">מצא בית המשפט כי הבקשה לאישור או התובענה הייצוגית הוגשה או נוהלה בחוסר תום לב על ידי </w:t>
            </w:r>
            <w:r w:rsidR="004918B1">
              <w:rPr>
                <w:rFonts w:hint="cs"/>
                <w:rtl/>
              </w:rPr>
              <w:t xml:space="preserve">המבקש או </w:t>
            </w:r>
            <w:r w:rsidRPr="00141F13">
              <w:rPr>
                <w:rFonts w:hint="cs"/>
                <w:rtl/>
              </w:rPr>
              <w:t>התובע המייצג או בא כוחו, יפסוק בית המשפט הוצאות סבירות והוגנות</w:t>
            </w:r>
            <w:r w:rsidR="000C5ED7">
              <w:rPr>
                <w:rFonts w:hint="cs"/>
                <w:rtl/>
              </w:rPr>
              <w:t xml:space="preserve"> על המבקש או התובע המייצג או על בא כוחו</w:t>
            </w:r>
            <w:r w:rsidRPr="00141F13">
              <w:rPr>
                <w:rFonts w:hint="cs"/>
                <w:rtl/>
              </w:rPr>
              <w:t>.</w:t>
            </w:r>
            <w:r>
              <w:rPr>
                <w:rFonts w:hint="cs"/>
                <w:rtl/>
              </w:rPr>
              <w:t>".</w:t>
            </w:r>
          </w:p>
        </w:tc>
      </w:tr>
      <w:tr w:rsidR="002B2D10" w14:paraId="70BF9144" w14:textId="77777777">
        <w:trPr>
          <w:cantSplit/>
          <w:trHeight w:val="60"/>
        </w:trPr>
        <w:tc>
          <w:tcPr>
            <w:tcW w:w="1871" w:type="dxa"/>
          </w:tcPr>
          <w:p w14:paraId="30E590E0" w14:textId="7B629647" w:rsidR="002B2D10" w:rsidRDefault="002B2D10" w:rsidP="007E751D">
            <w:pPr>
              <w:pStyle w:val="TableSideHeading"/>
              <w:keepLines w:val="0"/>
            </w:pPr>
            <w:r>
              <w:rPr>
                <w:rFonts w:hint="cs"/>
                <w:rtl/>
              </w:rPr>
              <w:t>תיקון סעיף 24</w:t>
            </w:r>
          </w:p>
        </w:tc>
        <w:tc>
          <w:tcPr>
            <w:tcW w:w="624" w:type="dxa"/>
          </w:tcPr>
          <w:p w14:paraId="71F3B91D" w14:textId="77777777" w:rsidR="002B2D10" w:rsidRDefault="002B2D10" w:rsidP="00461E2C">
            <w:pPr>
              <w:pStyle w:val="TableText"/>
              <w:keepLines w:val="0"/>
              <w:numPr>
                <w:ilvl w:val="0"/>
                <w:numId w:val="2"/>
              </w:numPr>
            </w:pPr>
          </w:p>
        </w:tc>
        <w:tc>
          <w:tcPr>
            <w:tcW w:w="7146" w:type="dxa"/>
            <w:gridSpan w:val="6"/>
          </w:tcPr>
          <w:p w14:paraId="2E118246" w14:textId="60DD19F4" w:rsidR="002B2D10" w:rsidRPr="00C34DE2" w:rsidRDefault="002B2D10" w:rsidP="007E751D">
            <w:pPr>
              <w:pStyle w:val="TableBlock"/>
              <w:keepLines w:val="0"/>
            </w:pPr>
            <w:r>
              <w:rPr>
                <w:rFonts w:hint="cs"/>
                <w:rtl/>
              </w:rPr>
              <w:t>בסעיף 24 לחוק העיקרי האמור בו יסומן "(א)" ואחריו יבוא:</w:t>
            </w:r>
          </w:p>
        </w:tc>
      </w:tr>
      <w:tr w:rsidR="002B2D10" w14:paraId="739D2936" w14:textId="77777777">
        <w:trPr>
          <w:cantSplit/>
          <w:trHeight w:val="60"/>
        </w:trPr>
        <w:tc>
          <w:tcPr>
            <w:tcW w:w="1871" w:type="dxa"/>
          </w:tcPr>
          <w:p w14:paraId="7269E0D2" w14:textId="77777777" w:rsidR="002B2D10" w:rsidRDefault="002B2D10">
            <w:pPr>
              <w:pStyle w:val="TableSideHeading"/>
            </w:pPr>
          </w:p>
        </w:tc>
        <w:tc>
          <w:tcPr>
            <w:tcW w:w="624" w:type="dxa"/>
          </w:tcPr>
          <w:p w14:paraId="62E2BC17" w14:textId="77777777" w:rsidR="002B2D10" w:rsidRDefault="002B2D10">
            <w:pPr>
              <w:pStyle w:val="TableText"/>
            </w:pPr>
          </w:p>
        </w:tc>
        <w:tc>
          <w:tcPr>
            <w:tcW w:w="624" w:type="dxa"/>
          </w:tcPr>
          <w:p w14:paraId="2F56BC76" w14:textId="77777777" w:rsidR="002B2D10" w:rsidRDefault="002B2D10">
            <w:pPr>
              <w:pStyle w:val="TableText"/>
            </w:pPr>
          </w:p>
        </w:tc>
        <w:tc>
          <w:tcPr>
            <w:tcW w:w="6522" w:type="dxa"/>
            <w:gridSpan w:val="5"/>
          </w:tcPr>
          <w:p w14:paraId="2D88C93E" w14:textId="2D038F2C" w:rsidR="002B2D10" w:rsidRDefault="002B2D10" w:rsidP="002B2D10">
            <w:pPr>
              <w:pStyle w:val="TableBlock"/>
            </w:pPr>
            <w:r>
              <w:rPr>
                <w:rFonts w:hint="cs"/>
                <w:rtl/>
              </w:rPr>
              <w:t xml:space="preserve">"(ב) פסק דין בתובענה ייצוגית שהסעד המבוקש בה </w:t>
            </w:r>
            <w:r w:rsidRPr="002B2D10">
              <w:rPr>
                <w:rFonts w:hint="eastAsia"/>
                <w:rtl/>
              </w:rPr>
              <w:t>הוא</w:t>
            </w:r>
            <w:r w:rsidRPr="002B2D10">
              <w:rPr>
                <w:rtl/>
              </w:rPr>
              <w:t xml:space="preserve"> </w:t>
            </w:r>
            <w:r w:rsidRPr="002B2D10">
              <w:rPr>
                <w:rFonts w:hint="eastAsia"/>
                <w:rtl/>
              </w:rPr>
              <w:t>צו</w:t>
            </w:r>
            <w:r w:rsidRPr="002B2D10">
              <w:rPr>
                <w:rtl/>
              </w:rPr>
              <w:t xml:space="preserve"> </w:t>
            </w:r>
            <w:r w:rsidRPr="002B2D10">
              <w:rPr>
                <w:rFonts w:hint="eastAsia"/>
                <w:rtl/>
              </w:rPr>
              <w:t>עשה</w:t>
            </w:r>
            <w:r w:rsidRPr="002B2D10">
              <w:rPr>
                <w:rtl/>
              </w:rPr>
              <w:t xml:space="preserve">, </w:t>
            </w:r>
            <w:r w:rsidRPr="002B2D10">
              <w:rPr>
                <w:rFonts w:hint="eastAsia"/>
                <w:rtl/>
              </w:rPr>
              <w:t>צו</w:t>
            </w:r>
            <w:r w:rsidRPr="002B2D10">
              <w:rPr>
                <w:rtl/>
              </w:rPr>
              <w:t xml:space="preserve"> </w:t>
            </w:r>
            <w:r w:rsidRPr="002B2D10">
              <w:rPr>
                <w:rFonts w:hint="eastAsia"/>
                <w:rtl/>
              </w:rPr>
              <w:t>מניעה</w:t>
            </w:r>
            <w:r w:rsidRPr="002B2D10">
              <w:rPr>
                <w:rtl/>
              </w:rPr>
              <w:t xml:space="preserve"> </w:t>
            </w:r>
            <w:r w:rsidRPr="002B2D10">
              <w:rPr>
                <w:rFonts w:hint="eastAsia"/>
                <w:rtl/>
              </w:rPr>
              <w:t>או</w:t>
            </w:r>
            <w:r w:rsidRPr="002B2D10">
              <w:rPr>
                <w:rtl/>
              </w:rPr>
              <w:t xml:space="preserve"> </w:t>
            </w:r>
            <w:r w:rsidRPr="002B2D10">
              <w:rPr>
                <w:rFonts w:hint="eastAsia"/>
                <w:rtl/>
              </w:rPr>
              <w:t>סעד</w:t>
            </w:r>
            <w:r w:rsidRPr="002B2D10">
              <w:rPr>
                <w:rtl/>
              </w:rPr>
              <w:t xml:space="preserve"> </w:t>
            </w:r>
            <w:r w:rsidRPr="002B2D10">
              <w:rPr>
                <w:rFonts w:hint="eastAsia"/>
                <w:rtl/>
              </w:rPr>
              <w:t>הצהרתי</w:t>
            </w:r>
            <w:r>
              <w:rPr>
                <w:rFonts w:hint="cs"/>
                <w:rtl/>
              </w:rPr>
              <w:t>, לא יהווה מעשה בית דין לגבי תביעה לסעד כספי באותה עילה."</w:t>
            </w:r>
          </w:p>
        </w:tc>
      </w:tr>
      <w:tr w:rsidR="002B2D10" w14:paraId="13026297" w14:textId="77777777">
        <w:trPr>
          <w:cantSplit/>
          <w:trHeight w:val="60"/>
        </w:trPr>
        <w:tc>
          <w:tcPr>
            <w:tcW w:w="1871" w:type="dxa"/>
          </w:tcPr>
          <w:p w14:paraId="2B881859" w14:textId="66DB6D8C" w:rsidR="002B2D10" w:rsidRDefault="002B2D10" w:rsidP="007E751D">
            <w:pPr>
              <w:pStyle w:val="TableSideHeading"/>
              <w:keepLines w:val="0"/>
            </w:pPr>
            <w:r>
              <w:rPr>
                <w:rFonts w:hint="cs"/>
                <w:rtl/>
              </w:rPr>
              <w:t>תיקון סעיף 25</w:t>
            </w:r>
          </w:p>
        </w:tc>
        <w:tc>
          <w:tcPr>
            <w:tcW w:w="624" w:type="dxa"/>
          </w:tcPr>
          <w:p w14:paraId="1F1ADC69" w14:textId="77777777" w:rsidR="002B2D10" w:rsidRDefault="002B2D10" w:rsidP="00461E2C">
            <w:pPr>
              <w:pStyle w:val="TableText"/>
              <w:keepLines w:val="0"/>
              <w:numPr>
                <w:ilvl w:val="0"/>
                <w:numId w:val="2"/>
              </w:numPr>
            </w:pPr>
          </w:p>
        </w:tc>
        <w:tc>
          <w:tcPr>
            <w:tcW w:w="7146" w:type="dxa"/>
            <w:gridSpan w:val="6"/>
          </w:tcPr>
          <w:p w14:paraId="648665F5" w14:textId="1E719483" w:rsidR="002B2D10" w:rsidRPr="00C34DE2" w:rsidRDefault="002B2D10" w:rsidP="007E751D">
            <w:pPr>
              <w:pStyle w:val="TableBlock"/>
              <w:keepLines w:val="0"/>
            </w:pPr>
            <w:r>
              <w:rPr>
                <w:rFonts w:hint="cs"/>
                <w:rtl/>
              </w:rPr>
              <w:t>בסעיף 25 לחוק העיקרי</w:t>
            </w:r>
            <w:r w:rsidR="00EF72F1">
              <w:rPr>
                <w:rFonts w:hint="cs"/>
                <w:rtl/>
              </w:rPr>
              <w:t xml:space="preserve"> </w:t>
            </w:r>
            <w:r w:rsidR="00EF72F1">
              <w:rPr>
                <w:rtl/>
              </w:rPr>
              <w:t>–</w:t>
            </w:r>
            <w:r w:rsidR="00EF72F1">
              <w:rPr>
                <w:rFonts w:hint="cs"/>
                <w:rtl/>
              </w:rPr>
              <w:t xml:space="preserve"> </w:t>
            </w:r>
          </w:p>
        </w:tc>
      </w:tr>
      <w:tr w:rsidR="000F6967" w14:paraId="1062EFCF" w14:textId="77777777">
        <w:trPr>
          <w:cantSplit/>
          <w:trHeight w:val="60"/>
        </w:trPr>
        <w:tc>
          <w:tcPr>
            <w:tcW w:w="1871" w:type="dxa"/>
          </w:tcPr>
          <w:p w14:paraId="614C3147" w14:textId="5FB26AA0" w:rsidR="000F6967" w:rsidRDefault="000F6967" w:rsidP="00E56D1D">
            <w:pPr>
              <w:pStyle w:val="TableSideHeading"/>
              <w:outlineLvl w:val="9"/>
            </w:pPr>
          </w:p>
        </w:tc>
        <w:tc>
          <w:tcPr>
            <w:tcW w:w="624" w:type="dxa"/>
          </w:tcPr>
          <w:p w14:paraId="430B5C04" w14:textId="77777777" w:rsidR="000F6967" w:rsidRDefault="000F6967">
            <w:pPr>
              <w:pStyle w:val="TableText"/>
            </w:pPr>
          </w:p>
        </w:tc>
        <w:tc>
          <w:tcPr>
            <w:tcW w:w="624" w:type="dxa"/>
          </w:tcPr>
          <w:p w14:paraId="25D5DC86" w14:textId="77777777" w:rsidR="000F6967" w:rsidRDefault="000F6967">
            <w:pPr>
              <w:pStyle w:val="TableText"/>
            </w:pPr>
          </w:p>
        </w:tc>
        <w:tc>
          <w:tcPr>
            <w:tcW w:w="6522" w:type="dxa"/>
            <w:gridSpan w:val="5"/>
          </w:tcPr>
          <w:p w14:paraId="1879B6B5" w14:textId="0385C421" w:rsidR="000F6967" w:rsidRDefault="000F6967" w:rsidP="00C57EB2">
            <w:pPr>
              <w:pStyle w:val="TableBlock"/>
              <w:numPr>
                <w:ilvl w:val="0"/>
                <w:numId w:val="29"/>
              </w:numPr>
              <w:tabs>
                <w:tab w:val="left" w:pos="624"/>
              </w:tabs>
            </w:pPr>
            <w:r>
              <w:rPr>
                <w:rFonts w:hint="cs"/>
                <w:rtl/>
              </w:rPr>
              <w:t>בסעיף קטן (א), בפסקה 5</w:t>
            </w:r>
            <w:r w:rsidR="00141F13">
              <w:rPr>
                <w:rFonts w:hint="cs"/>
                <w:rtl/>
              </w:rPr>
              <w:t xml:space="preserve"> המילים ",22" יימחקו.</w:t>
            </w:r>
          </w:p>
        </w:tc>
      </w:tr>
      <w:tr w:rsidR="00EF72F1" w14:paraId="5659F3CC" w14:textId="77777777">
        <w:trPr>
          <w:cantSplit/>
          <w:trHeight w:val="60"/>
        </w:trPr>
        <w:tc>
          <w:tcPr>
            <w:tcW w:w="1871" w:type="dxa"/>
          </w:tcPr>
          <w:p w14:paraId="00325EB6" w14:textId="77777777" w:rsidR="00EF72F1" w:rsidRDefault="00EF72F1">
            <w:pPr>
              <w:pStyle w:val="TableSideHeading"/>
            </w:pPr>
          </w:p>
        </w:tc>
        <w:tc>
          <w:tcPr>
            <w:tcW w:w="624" w:type="dxa"/>
          </w:tcPr>
          <w:p w14:paraId="276826A3" w14:textId="77777777" w:rsidR="00EF72F1" w:rsidRDefault="00EF72F1">
            <w:pPr>
              <w:pStyle w:val="TableText"/>
            </w:pPr>
          </w:p>
        </w:tc>
        <w:tc>
          <w:tcPr>
            <w:tcW w:w="624" w:type="dxa"/>
          </w:tcPr>
          <w:p w14:paraId="619F0FBC" w14:textId="77777777" w:rsidR="00EF72F1" w:rsidRDefault="00EF72F1">
            <w:pPr>
              <w:pStyle w:val="TableText"/>
            </w:pPr>
          </w:p>
        </w:tc>
        <w:tc>
          <w:tcPr>
            <w:tcW w:w="6522" w:type="dxa"/>
            <w:gridSpan w:val="5"/>
          </w:tcPr>
          <w:p w14:paraId="2E2B8354" w14:textId="39669BFA" w:rsidR="00EF72F1" w:rsidRPr="00EF72F1" w:rsidRDefault="00EF72F1" w:rsidP="00C57EB2">
            <w:pPr>
              <w:pStyle w:val="TableBlock"/>
              <w:numPr>
                <w:ilvl w:val="0"/>
                <w:numId w:val="29"/>
              </w:numPr>
              <w:tabs>
                <w:tab w:val="left" w:pos="624"/>
              </w:tabs>
            </w:pPr>
            <w:r>
              <w:rPr>
                <w:rFonts w:hint="cs"/>
                <w:rtl/>
              </w:rPr>
              <w:t>אחרי סעיף (ה) יבוא:</w:t>
            </w:r>
          </w:p>
        </w:tc>
      </w:tr>
      <w:tr w:rsidR="00EF72F1" w14:paraId="3D5AF291" w14:textId="77777777">
        <w:trPr>
          <w:cantSplit/>
          <w:trHeight w:val="60"/>
        </w:trPr>
        <w:tc>
          <w:tcPr>
            <w:tcW w:w="1871" w:type="dxa"/>
          </w:tcPr>
          <w:p w14:paraId="50F289B8" w14:textId="77777777" w:rsidR="00EF72F1" w:rsidRDefault="00EF72F1">
            <w:pPr>
              <w:pStyle w:val="TableSideHeading"/>
            </w:pPr>
          </w:p>
        </w:tc>
        <w:tc>
          <w:tcPr>
            <w:tcW w:w="624" w:type="dxa"/>
          </w:tcPr>
          <w:p w14:paraId="039A37FB" w14:textId="77777777" w:rsidR="00EF72F1" w:rsidRDefault="00EF72F1">
            <w:pPr>
              <w:pStyle w:val="TableText"/>
            </w:pPr>
          </w:p>
        </w:tc>
        <w:tc>
          <w:tcPr>
            <w:tcW w:w="624" w:type="dxa"/>
          </w:tcPr>
          <w:p w14:paraId="4E624D62" w14:textId="77777777" w:rsidR="00EF72F1" w:rsidRDefault="00EF72F1">
            <w:pPr>
              <w:pStyle w:val="TableText"/>
            </w:pPr>
          </w:p>
        </w:tc>
        <w:tc>
          <w:tcPr>
            <w:tcW w:w="624" w:type="dxa"/>
          </w:tcPr>
          <w:p w14:paraId="2C3F8118" w14:textId="77777777" w:rsidR="00EF72F1" w:rsidRDefault="00EF72F1">
            <w:pPr>
              <w:pStyle w:val="TableText"/>
            </w:pPr>
          </w:p>
        </w:tc>
        <w:tc>
          <w:tcPr>
            <w:tcW w:w="5898" w:type="dxa"/>
            <w:gridSpan w:val="4"/>
          </w:tcPr>
          <w:p w14:paraId="1B483D0E" w14:textId="0A024C7A" w:rsidR="00EF72F1" w:rsidRDefault="00EF72F1">
            <w:pPr>
              <w:pStyle w:val="TableBlock"/>
            </w:pPr>
            <w:r>
              <w:rPr>
                <w:rFonts w:hint="cs"/>
                <w:rtl/>
              </w:rPr>
              <w:t>"(ה1) על אף האמור בסעיף קטן (ה) -</w:t>
            </w:r>
          </w:p>
        </w:tc>
      </w:tr>
      <w:tr w:rsidR="00EF72F1" w14:paraId="70CA96D7" w14:textId="77777777">
        <w:trPr>
          <w:cantSplit/>
          <w:trHeight w:val="60"/>
        </w:trPr>
        <w:tc>
          <w:tcPr>
            <w:tcW w:w="1871" w:type="dxa"/>
          </w:tcPr>
          <w:p w14:paraId="153C95B3" w14:textId="5E4C161A" w:rsidR="00EF72F1" w:rsidRDefault="00EF72F1" w:rsidP="0078657C">
            <w:pPr>
              <w:pStyle w:val="TableSideHeading"/>
              <w:ind w:left="408"/>
              <w:outlineLvl w:val="9"/>
            </w:pPr>
          </w:p>
        </w:tc>
        <w:tc>
          <w:tcPr>
            <w:tcW w:w="624" w:type="dxa"/>
          </w:tcPr>
          <w:p w14:paraId="5047C267" w14:textId="77777777" w:rsidR="00EF72F1" w:rsidRDefault="00EF72F1">
            <w:pPr>
              <w:pStyle w:val="TableText"/>
            </w:pPr>
          </w:p>
        </w:tc>
        <w:tc>
          <w:tcPr>
            <w:tcW w:w="624" w:type="dxa"/>
          </w:tcPr>
          <w:p w14:paraId="6BF9C31B" w14:textId="77777777" w:rsidR="00EF72F1" w:rsidRDefault="00EF72F1">
            <w:pPr>
              <w:pStyle w:val="TableText"/>
            </w:pPr>
          </w:p>
        </w:tc>
        <w:tc>
          <w:tcPr>
            <w:tcW w:w="624" w:type="dxa"/>
          </w:tcPr>
          <w:p w14:paraId="67BECCE8" w14:textId="77777777" w:rsidR="00EF72F1" w:rsidRDefault="00EF72F1">
            <w:pPr>
              <w:pStyle w:val="TableText"/>
            </w:pPr>
          </w:p>
        </w:tc>
        <w:tc>
          <w:tcPr>
            <w:tcW w:w="624" w:type="dxa"/>
          </w:tcPr>
          <w:p w14:paraId="1DC7C1EA" w14:textId="77777777" w:rsidR="00EF72F1" w:rsidRDefault="00EF72F1">
            <w:pPr>
              <w:pStyle w:val="TableText"/>
            </w:pPr>
          </w:p>
        </w:tc>
        <w:tc>
          <w:tcPr>
            <w:tcW w:w="5274" w:type="dxa"/>
            <w:gridSpan w:val="3"/>
          </w:tcPr>
          <w:p w14:paraId="1366FB7D" w14:textId="0416559E" w:rsidR="00EF72F1" w:rsidRDefault="00EF72F1" w:rsidP="004F4BCD">
            <w:pPr>
              <w:pStyle w:val="TableBlock"/>
              <w:numPr>
                <w:ilvl w:val="0"/>
                <w:numId w:val="28"/>
              </w:numPr>
              <w:tabs>
                <w:tab w:val="left" w:pos="624"/>
              </w:tabs>
            </w:pPr>
            <w:r>
              <w:rPr>
                <w:rFonts w:hint="cs"/>
                <w:rtl/>
              </w:rPr>
              <w:t xml:space="preserve">נקבע פיצוי לחברי קבוצה, </w:t>
            </w:r>
            <w:r w:rsidRPr="00EF72F1">
              <w:rPr>
                <w:rFonts w:hint="cs"/>
                <w:rtl/>
              </w:rPr>
              <w:t>בין במסגרת פסק דין ובין במסגרת הסדר פשרה,</w:t>
            </w:r>
            <w:r>
              <w:rPr>
                <w:rFonts w:hint="cs"/>
                <w:rtl/>
              </w:rPr>
              <w:t xml:space="preserve"> יורה בית המשפט על פרסום ההודעה בדבר מתן פיצוי כאמור באתר האינטרנט של הנתבע</w:t>
            </w:r>
            <w:r w:rsidR="004F4BCD">
              <w:rPr>
                <w:rFonts w:hint="cs"/>
                <w:rtl/>
              </w:rPr>
              <w:t>, ככל שקיים</w:t>
            </w:r>
            <w:r>
              <w:rPr>
                <w:rFonts w:hint="cs"/>
                <w:rtl/>
              </w:rPr>
              <w:t xml:space="preserve"> </w:t>
            </w:r>
            <w:r w:rsidR="006023E1">
              <w:rPr>
                <w:rFonts w:hint="cs"/>
                <w:rtl/>
              </w:rPr>
              <w:t xml:space="preserve">וכן ברשתות חברתיות, ככל </w:t>
            </w:r>
            <w:r w:rsidR="003C7A7A">
              <w:rPr>
                <w:rFonts w:hint="cs"/>
                <w:rtl/>
              </w:rPr>
              <w:t>שהדבר רלבנטי</w:t>
            </w:r>
            <w:r w:rsidR="004F4BCD">
              <w:rPr>
                <w:rFonts w:hint="cs"/>
                <w:rtl/>
              </w:rPr>
              <w:t>;</w:t>
            </w:r>
          </w:p>
        </w:tc>
      </w:tr>
      <w:tr w:rsidR="00EF72F1" w14:paraId="2CCB0C75" w14:textId="77777777">
        <w:trPr>
          <w:cantSplit/>
          <w:trHeight w:val="60"/>
        </w:trPr>
        <w:tc>
          <w:tcPr>
            <w:tcW w:w="1871" w:type="dxa"/>
          </w:tcPr>
          <w:p w14:paraId="4C472174" w14:textId="77777777" w:rsidR="00EF72F1" w:rsidRPr="002B2D10" w:rsidRDefault="00EF72F1" w:rsidP="00EF72F1">
            <w:pPr>
              <w:pStyle w:val="TableSideHeading"/>
              <w:ind w:left="408"/>
              <w:outlineLvl w:val="9"/>
              <w:rPr>
                <w:sz w:val="14"/>
                <w:szCs w:val="20"/>
                <w:highlight w:val="cyan"/>
                <w:rtl/>
              </w:rPr>
            </w:pPr>
          </w:p>
        </w:tc>
        <w:tc>
          <w:tcPr>
            <w:tcW w:w="624" w:type="dxa"/>
          </w:tcPr>
          <w:p w14:paraId="5FDB341C" w14:textId="77777777" w:rsidR="00EF72F1" w:rsidRDefault="00EF72F1" w:rsidP="00EF72F1">
            <w:pPr>
              <w:pStyle w:val="TableText"/>
            </w:pPr>
          </w:p>
        </w:tc>
        <w:tc>
          <w:tcPr>
            <w:tcW w:w="624" w:type="dxa"/>
          </w:tcPr>
          <w:p w14:paraId="776AEF42" w14:textId="77777777" w:rsidR="00EF72F1" w:rsidRDefault="00EF72F1">
            <w:pPr>
              <w:pStyle w:val="TableText"/>
            </w:pPr>
          </w:p>
        </w:tc>
        <w:tc>
          <w:tcPr>
            <w:tcW w:w="624" w:type="dxa"/>
          </w:tcPr>
          <w:p w14:paraId="5C69B60E" w14:textId="77777777" w:rsidR="00EF72F1" w:rsidRDefault="00EF72F1">
            <w:pPr>
              <w:pStyle w:val="TableText"/>
            </w:pPr>
          </w:p>
        </w:tc>
        <w:tc>
          <w:tcPr>
            <w:tcW w:w="624" w:type="dxa"/>
          </w:tcPr>
          <w:p w14:paraId="5E7A1352" w14:textId="77777777" w:rsidR="00EF72F1" w:rsidRDefault="00EF72F1">
            <w:pPr>
              <w:pStyle w:val="TableText"/>
            </w:pPr>
          </w:p>
        </w:tc>
        <w:tc>
          <w:tcPr>
            <w:tcW w:w="5274" w:type="dxa"/>
            <w:gridSpan w:val="3"/>
          </w:tcPr>
          <w:p w14:paraId="0C4421A2" w14:textId="09AECEF4" w:rsidR="00EF72F1" w:rsidRDefault="00EF72F1" w:rsidP="00C57EB2">
            <w:pPr>
              <w:pStyle w:val="TableBlock"/>
              <w:numPr>
                <w:ilvl w:val="0"/>
                <w:numId w:val="28"/>
              </w:numPr>
              <w:tabs>
                <w:tab w:val="left" w:pos="624"/>
              </w:tabs>
              <w:rPr>
                <w:rtl/>
              </w:rPr>
            </w:pPr>
            <w:r>
              <w:rPr>
                <w:rFonts w:hint="cs"/>
                <w:rtl/>
              </w:rPr>
              <w:t xml:space="preserve">נקבע </w:t>
            </w:r>
            <w:r w:rsidRPr="002B2D10">
              <w:rPr>
                <w:rtl/>
              </w:rPr>
              <w:t>כי על ה</w:t>
            </w:r>
            <w:r w:rsidRPr="002B2D10">
              <w:rPr>
                <w:rFonts w:hint="cs"/>
                <w:rtl/>
              </w:rPr>
              <w:t xml:space="preserve">נתבע </w:t>
            </w:r>
            <w:r w:rsidRPr="002B2D10">
              <w:rPr>
                <w:rtl/>
              </w:rPr>
              <w:t>לפצות את חברי הקבוצה</w:t>
            </w:r>
            <w:r w:rsidRPr="002B2D10">
              <w:rPr>
                <w:rFonts w:hint="cs"/>
                <w:rtl/>
              </w:rPr>
              <w:t xml:space="preserve">, כולה או חלקה בפיצוי אישי, </w:t>
            </w:r>
            <w:r w:rsidRPr="002B2D10">
              <w:rPr>
                <w:rtl/>
              </w:rPr>
              <w:t xml:space="preserve">בין </w:t>
            </w:r>
            <w:r w:rsidRPr="00EF72F1">
              <w:rPr>
                <w:rtl/>
              </w:rPr>
              <w:t>במסגרת פסק דין ובין במסגרת הסכם</w:t>
            </w:r>
            <w:r w:rsidRPr="002B2D10">
              <w:rPr>
                <w:rtl/>
              </w:rPr>
              <w:t xml:space="preserve"> פשרה</w:t>
            </w:r>
            <w:r w:rsidRPr="002B2D10">
              <w:rPr>
                <w:rFonts w:hint="cs"/>
                <w:rtl/>
              </w:rPr>
              <w:t xml:space="preserve">, ויש בידי הנתבע נתונים עדכניים על </w:t>
            </w:r>
            <w:r w:rsidRPr="002B2D10">
              <w:rPr>
                <w:rFonts w:hint="eastAsia"/>
                <w:rtl/>
              </w:rPr>
              <w:t>אודות</w:t>
            </w:r>
            <w:r w:rsidRPr="002B2D10">
              <w:rPr>
                <w:rtl/>
              </w:rPr>
              <w:t xml:space="preserve"> </w:t>
            </w:r>
            <w:r w:rsidRPr="002B2D10">
              <w:rPr>
                <w:rFonts w:hint="eastAsia"/>
                <w:rtl/>
              </w:rPr>
              <w:t>פרטי</w:t>
            </w:r>
            <w:r w:rsidRPr="002B2D10">
              <w:rPr>
                <w:rtl/>
              </w:rPr>
              <w:t xml:space="preserve"> </w:t>
            </w:r>
            <w:r w:rsidRPr="002B2D10">
              <w:rPr>
                <w:rFonts w:hint="eastAsia"/>
                <w:rtl/>
              </w:rPr>
              <w:t>הקשר</w:t>
            </w:r>
            <w:r w:rsidRPr="002B2D10">
              <w:rPr>
                <w:rFonts w:hint="cs"/>
                <w:rtl/>
              </w:rPr>
              <w:t xml:space="preserve"> של חברי הקבוצה או שיש בידיו אפשרות סבירה לזהות ולאתר את חברי הקבוצה, יורה בית המשפט</w:t>
            </w:r>
            <w:r>
              <w:rPr>
                <w:rFonts w:hint="cs"/>
                <w:rtl/>
              </w:rPr>
              <w:t xml:space="preserve"> בנוסף על פרסום ההודעה כאמור בפסקה (1) גם על </w:t>
            </w:r>
            <w:r w:rsidRPr="002B2D10">
              <w:rPr>
                <w:rFonts w:hint="cs"/>
                <w:rtl/>
              </w:rPr>
              <w:t>מסירת הודעה אישית לחברי הקבוצה, ובלבד שניתן לעשות כן בעלות סבירה;</w:t>
            </w:r>
            <w:r w:rsidR="006023E1">
              <w:rPr>
                <w:rFonts w:hint="cs"/>
                <w:rtl/>
              </w:rPr>
              <w:t xml:space="preserve"> לעניין זה הודעה אישית </w:t>
            </w:r>
            <w:r w:rsidR="006023E1">
              <w:rPr>
                <w:rtl/>
              </w:rPr>
              <w:t>–</w:t>
            </w:r>
            <w:r w:rsidR="006023E1">
              <w:rPr>
                <w:rFonts w:hint="cs"/>
                <w:rtl/>
              </w:rPr>
              <w:t xml:space="preserve"> </w:t>
            </w:r>
            <w:r w:rsidR="003C7A7A">
              <w:rPr>
                <w:rFonts w:hint="cs"/>
                <w:rtl/>
              </w:rPr>
              <w:t xml:space="preserve">הודעה שתימסר </w:t>
            </w:r>
            <w:r w:rsidR="006023E1">
              <w:rPr>
                <w:rFonts w:hint="cs"/>
                <w:rtl/>
              </w:rPr>
              <w:t xml:space="preserve">ככל הניתן </w:t>
            </w:r>
            <w:r w:rsidR="003C7A7A">
              <w:rPr>
                <w:rFonts w:hint="cs"/>
                <w:rtl/>
              </w:rPr>
              <w:t xml:space="preserve">באמצעי קשר דיגיטלי, לרבות </w:t>
            </w:r>
            <w:r w:rsidR="006023E1">
              <w:rPr>
                <w:rFonts w:hint="cs"/>
                <w:rtl/>
              </w:rPr>
              <w:t>בדרך של מסרון או באמצעות דואר אלקטרוני.</w:t>
            </w:r>
          </w:p>
        </w:tc>
      </w:tr>
      <w:tr w:rsidR="004A697D" w14:paraId="67DBF83F" w14:textId="77777777">
        <w:trPr>
          <w:cantSplit/>
          <w:trHeight w:val="60"/>
        </w:trPr>
        <w:tc>
          <w:tcPr>
            <w:tcW w:w="1871" w:type="dxa"/>
          </w:tcPr>
          <w:p w14:paraId="38CE7DD4" w14:textId="15824373" w:rsidR="004A697D" w:rsidRDefault="004A697D" w:rsidP="007E751D">
            <w:pPr>
              <w:pStyle w:val="TableSideHeading"/>
              <w:keepLines w:val="0"/>
            </w:pPr>
            <w:r>
              <w:rPr>
                <w:rFonts w:hint="cs"/>
                <w:rtl/>
              </w:rPr>
              <w:t>תיקון סעיף 27</w:t>
            </w:r>
          </w:p>
        </w:tc>
        <w:tc>
          <w:tcPr>
            <w:tcW w:w="624" w:type="dxa"/>
          </w:tcPr>
          <w:p w14:paraId="64BE1078" w14:textId="77777777" w:rsidR="004A697D" w:rsidRDefault="004A697D" w:rsidP="00461E2C">
            <w:pPr>
              <w:pStyle w:val="TableText"/>
              <w:keepLines w:val="0"/>
              <w:numPr>
                <w:ilvl w:val="0"/>
                <w:numId w:val="2"/>
              </w:numPr>
            </w:pPr>
          </w:p>
        </w:tc>
        <w:tc>
          <w:tcPr>
            <w:tcW w:w="7146" w:type="dxa"/>
            <w:gridSpan w:val="6"/>
          </w:tcPr>
          <w:p w14:paraId="6A8ABF5B" w14:textId="01124E72" w:rsidR="004A697D" w:rsidRPr="00C34DE2" w:rsidRDefault="00520E16" w:rsidP="007E751D">
            <w:pPr>
              <w:pStyle w:val="TableBlock"/>
              <w:keepLines w:val="0"/>
            </w:pPr>
            <w:r w:rsidRPr="002B2D10">
              <w:rPr>
                <w:rFonts w:hint="cs"/>
                <w:rtl/>
              </w:rPr>
              <w:t xml:space="preserve">בסעיף 27 לחוק העיקרי, סעיף קטן (ו) </w:t>
            </w:r>
            <w:r w:rsidRPr="002B2D10">
              <w:rPr>
                <w:rtl/>
              </w:rPr>
              <w:t>–</w:t>
            </w:r>
            <w:r w:rsidRPr="002B2D10">
              <w:rPr>
                <w:rFonts w:hint="cs"/>
                <w:rtl/>
              </w:rPr>
              <w:t xml:space="preserve"> בטל.</w:t>
            </w:r>
          </w:p>
        </w:tc>
      </w:tr>
      <w:tr w:rsidR="001A29CA" w14:paraId="23EB5B18" w14:textId="77777777">
        <w:trPr>
          <w:cantSplit/>
          <w:trHeight w:val="60"/>
        </w:trPr>
        <w:tc>
          <w:tcPr>
            <w:tcW w:w="1871" w:type="dxa"/>
          </w:tcPr>
          <w:p w14:paraId="1D258078" w14:textId="238B4062" w:rsidR="001A29CA" w:rsidRDefault="001A29CA" w:rsidP="007E751D">
            <w:pPr>
              <w:pStyle w:val="TableSideHeading"/>
              <w:keepLines w:val="0"/>
              <w:rPr>
                <w:rtl/>
              </w:rPr>
            </w:pPr>
            <w:r>
              <w:rPr>
                <w:rFonts w:hint="cs"/>
                <w:rtl/>
              </w:rPr>
              <w:t>תיקון סעיף 27א</w:t>
            </w:r>
          </w:p>
        </w:tc>
        <w:tc>
          <w:tcPr>
            <w:tcW w:w="624" w:type="dxa"/>
          </w:tcPr>
          <w:p w14:paraId="42BE3C08" w14:textId="77777777" w:rsidR="001A29CA" w:rsidRDefault="001A29CA" w:rsidP="001A29CA">
            <w:pPr>
              <w:pStyle w:val="TableText"/>
              <w:keepLines w:val="0"/>
              <w:numPr>
                <w:ilvl w:val="0"/>
                <w:numId w:val="2"/>
              </w:numPr>
            </w:pPr>
          </w:p>
        </w:tc>
        <w:tc>
          <w:tcPr>
            <w:tcW w:w="7146" w:type="dxa"/>
            <w:gridSpan w:val="6"/>
          </w:tcPr>
          <w:p w14:paraId="1711E0D7" w14:textId="51689A66" w:rsidR="001A29CA" w:rsidRPr="002B2D10" w:rsidRDefault="008A3CD8" w:rsidP="007E751D">
            <w:pPr>
              <w:pStyle w:val="TableBlock"/>
              <w:keepLines w:val="0"/>
              <w:rPr>
                <w:rtl/>
              </w:rPr>
            </w:pPr>
            <w:r>
              <w:rPr>
                <w:rFonts w:hint="cs"/>
                <w:rtl/>
              </w:rPr>
              <w:t>בסעיף 27</w:t>
            </w:r>
            <w:r w:rsidR="009B3673">
              <w:rPr>
                <w:rFonts w:hint="cs"/>
                <w:rtl/>
              </w:rPr>
              <w:t>א</w:t>
            </w:r>
            <w:r>
              <w:rPr>
                <w:rFonts w:hint="cs"/>
                <w:rtl/>
              </w:rPr>
              <w:t xml:space="preserve"> לחוק העיקרי - </w:t>
            </w:r>
          </w:p>
        </w:tc>
      </w:tr>
      <w:tr w:rsidR="008A3CD8" w14:paraId="6FFF0C98" w14:textId="77777777">
        <w:trPr>
          <w:cantSplit/>
          <w:trHeight w:val="60"/>
        </w:trPr>
        <w:tc>
          <w:tcPr>
            <w:tcW w:w="1871" w:type="dxa"/>
          </w:tcPr>
          <w:p w14:paraId="58A1ADA9" w14:textId="77777777" w:rsidR="008A3CD8" w:rsidRDefault="008A3CD8">
            <w:pPr>
              <w:pStyle w:val="TableSideHeading"/>
            </w:pPr>
          </w:p>
        </w:tc>
        <w:tc>
          <w:tcPr>
            <w:tcW w:w="624" w:type="dxa"/>
          </w:tcPr>
          <w:p w14:paraId="4D9006E8" w14:textId="77777777" w:rsidR="008A3CD8" w:rsidRDefault="008A3CD8">
            <w:pPr>
              <w:pStyle w:val="TableText"/>
            </w:pPr>
          </w:p>
        </w:tc>
        <w:tc>
          <w:tcPr>
            <w:tcW w:w="624" w:type="dxa"/>
          </w:tcPr>
          <w:p w14:paraId="2965DC4E" w14:textId="77777777" w:rsidR="008A3CD8" w:rsidRDefault="008A3CD8">
            <w:pPr>
              <w:pStyle w:val="TableText"/>
            </w:pPr>
          </w:p>
        </w:tc>
        <w:tc>
          <w:tcPr>
            <w:tcW w:w="6522" w:type="dxa"/>
            <w:gridSpan w:val="5"/>
          </w:tcPr>
          <w:p w14:paraId="43C17700" w14:textId="102D0F12" w:rsidR="008A3CD8" w:rsidRDefault="008A3CD8" w:rsidP="008A3CD8">
            <w:pPr>
              <w:pStyle w:val="TableBlock"/>
              <w:numPr>
                <w:ilvl w:val="0"/>
                <w:numId w:val="42"/>
              </w:numPr>
              <w:tabs>
                <w:tab w:val="left" w:pos="624"/>
              </w:tabs>
            </w:pPr>
            <w:r>
              <w:rPr>
                <w:rFonts w:hint="cs"/>
                <w:rtl/>
              </w:rPr>
              <w:t>בסעיף קטן (ח), אחרי המילים "על הכספים שחולקו" יבוא "ורשאית היא לקבוע רשימה של מטרות על מנת שבתי המשפט יוכלו להסתייע בה בבואם לייעד את הכספים".</w:t>
            </w:r>
          </w:p>
        </w:tc>
      </w:tr>
      <w:tr w:rsidR="008A3CD8" w14:paraId="43589FFF" w14:textId="77777777">
        <w:trPr>
          <w:cantSplit/>
          <w:trHeight w:val="60"/>
        </w:trPr>
        <w:tc>
          <w:tcPr>
            <w:tcW w:w="1871" w:type="dxa"/>
          </w:tcPr>
          <w:p w14:paraId="1047138C" w14:textId="77777777" w:rsidR="008A3CD8" w:rsidRDefault="008A3CD8">
            <w:pPr>
              <w:pStyle w:val="TableSideHeading"/>
            </w:pPr>
          </w:p>
        </w:tc>
        <w:tc>
          <w:tcPr>
            <w:tcW w:w="624" w:type="dxa"/>
          </w:tcPr>
          <w:p w14:paraId="11C59304" w14:textId="77777777" w:rsidR="008A3CD8" w:rsidRDefault="008A3CD8" w:rsidP="008A3CD8">
            <w:pPr>
              <w:pStyle w:val="TableText"/>
            </w:pPr>
          </w:p>
        </w:tc>
        <w:tc>
          <w:tcPr>
            <w:tcW w:w="624" w:type="dxa"/>
          </w:tcPr>
          <w:p w14:paraId="63A5B9EC" w14:textId="77777777" w:rsidR="008A3CD8" w:rsidRDefault="008A3CD8">
            <w:pPr>
              <w:pStyle w:val="TableText"/>
            </w:pPr>
          </w:p>
        </w:tc>
        <w:tc>
          <w:tcPr>
            <w:tcW w:w="6522" w:type="dxa"/>
            <w:gridSpan w:val="5"/>
          </w:tcPr>
          <w:p w14:paraId="67DA78C9" w14:textId="2170A7B1" w:rsidR="008A3CD8" w:rsidRDefault="008A3CD8" w:rsidP="008A3CD8">
            <w:pPr>
              <w:pStyle w:val="TableBlock"/>
              <w:numPr>
                <w:ilvl w:val="0"/>
                <w:numId w:val="42"/>
              </w:numPr>
              <w:tabs>
                <w:tab w:val="left" w:pos="624"/>
              </w:tabs>
              <w:rPr>
                <w:rtl/>
              </w:rPr>
            </w:pPr>
            <w:r>
              <w:rPr>
                <w:rFonts w:hint="cs"/>
                <w:rtl/>
              </w:rPr>
              <w:t>בסעיף קטן (ט), המילה "ברשומות" - תימחק.</w:t>
            </w:r>
          </w:p>
        </w:tc>
      </w:tr>
      <w:tr w:rsidR="000A621B" w14:paraId="35443212" w14:textId="77777777">
        <w:trPr>
          <w:cantSplit/>
          <w:trHeight w:val="60"/>
        </w:trPr>
        <w:tc>
          <w:tcPr>
            <w:tcW w:w="1871" w:type="dxa"/>
          </w:tcPr>
          <w:p w14:paraId="63201EE7" w14:textId="622AFF8F" w:rsidR="000A621B" w:rsidRDefault="006659DB" w:rsidP="007E751D">
            <w:pPr>
              <w:pStyle w:val="TableSideHeading"/>
              <w:keepLines w:val="0"/>
            </w:pPr>
            <w:r>
              <w:rPr>
                <w:rFonts w:hint="cs"/>
                <w:rtl/>
              </w:rPr>
              <w:t>הוספת סעיף 30א</w:t>
            </w:r>
          </w:p>
        </w:tc>
        <w:tc>
          <w:tcPr>
            <w:tcW w:w="624" w:type="dxa"/>
          </w:tcPr>
          <w:p w14:paraId="624E7941" w14:textId="77777777" w:rsidR="000A621B" w:rsidRDefault="000A621B" w:rsidP="00461E2C">
            <w:pPr>
              <w:pStyle w:val="TableText"/>
              <w:keepLines w:val="0"/>
              <w:numPr>
                <w:ilvl w:val="0"/>
                <w:numId w:val="2"/>
              </w:numPr>
            </w:pPr>
          </w:p>
        </w:tc>
        <w:tc>
          <w:tcPr>
            <w:tcW w:w="7146" w:type="dxa"/>
            <w:gridSpan w:val="6"/>
          </w:tcPr>
          <w:p w14:paraId="778E9DAF" w14:textId="1E99F6F5" w:rsidR="000A621B" w:rsidRPr="00C34DE2" w:rsidRDefault="006659DB" w:rsidP="007E751D">
            <w:pPr>
              <w:pStyle w:val="TableBlock"/>
              <w:keepLines w:val="0"/>
            </w:pPr>
            <w:r>
              <w:rPr>
                <w:rFonts w:hint="cs"/>
                <w:rtl/>
              </w:rPr>
              <w:t>אחרי סעיף 30 יבוא:</w:t>
            </w:r>
          </w:p>
        </w:tc>
      </w:tr>
      <w:tr w:rsidR="006659DB" w14:paraId="0AE26525" w14:textId="77777777">
        <w:trPr>
          <w:cantSplit/>
          <w:trHeight w:val="60"/>
        </w:trPr>
        <w:tc>
          <w:tcPr>
            <w:tcW w:w="1871" w:type="dxa"/>
          </w:tcPr>
          <w:p w14:paraId="13A3DAB1" w14:textId="77777777" w:rsidR="006659DB" w:rsidRDefault="006659DB">
            <w:pPr>
              <w:pStyle w:val="TableSideHeading"/>
              <w:keepLines w:val="0"/>
            </w:pPr>
          </w:p>
        </w:tc>
        <w:tc>
          <w:tcPr>
            <w:tcW w:w="624" w:type="dxa"/>
          </w:tcPr>
          <w:p w14:paraId="100968EF" w14:textId="77777777" w:rsidR="006659DB" w:rsidRDefault="006659DB">
            <w:pPr>
              <w:pStyle w:val="TableText"/>
              <w:keepLines w:val="0"/>
            </w:pPr>
          </w:p>
        </w:tc>
        <w:tc>
          <w:tcPr>
            <w:tcW w:w="1872" w:type="dxa"/>
            <w:gridSpan w:val="3"/>
          </w:tcPr>
          <w:p w14:paraId="540B47E1" w14:textId="2B0B8854" w:rsidR="006659DB" w:rsidRDefault="006659DB">
            <w:pPr>
              <w:pStyle w:val="TableInnerSideHeading"/>
            </w:pPr>
            <w:r>
              <w:rPr>
                <w:rFonts w:hint="cs"/>
                <w:rtl/>
              </w:rPr>
              <w:t>"שינוי התוספת הרביעית</w:t>
            </w:r>
          </w:p>
        </w:tc>
        <w:tc>
          <w:tcPr>
            <w:tcW w:w="624" w:type="dxa"/>
          </w:tcPr>
          <w:p w14:paraId="4FD15F46" w14:textId="239EC248" w:rsidR="006659DB" w:rsidRDefault="006659DB">
            <w:pPr>
              <w:pStyle w:val="TableText"/>
            </w:pPr>
            <w:r>
              <w:rPr>
                <w:rFonts w:hint="cs"/>
                <w:rtl/>
              </w:rPr>
              <w:t>30א.</w:t>
            </w:r>
          </w:p>
        </w:tc>
        <w:tc>
          <w:tcPr>
            <w:tcW w:w="4650" w:type="dxa"/>
            <w:gridSpan w:val="2"/>
          </w:tcPr>
          <w:p w14:paraId="2E40E6C8" w14:textId="4485BAEC" w:rsidR="006659DB" w:rsidRDefault="006659DB">
            <w:pPr>
              <w:pStyle w:val="TableBlock"/>
            </w:pPr>
            <w:r>
              <w:rPr>
                <w:rFonts w:hint="cs"/>
                <w:rtl/>
              </w:rPr>
              <w:t>השר רשאי, בצו, לשנות את התוספת הרביעית."</w:t>
            </w:r>
          </w:p>
        </w:tc>
      </w:tr>
      <w:tr w:rsidR="00520E16" w14:paraId="5F3A8B32" w14:textId="77777777">
        <w:trPr>
          <w:cantSplit/>
          <w:trHeight w:val="60"/>
        </w:trPr>
        <w:tc>
          <w:tcPr>
            <w:tcW w:w="1871" w:type="dxa"/>
          </w:tcPr>
          <w:p w14:paraId="15EDFEB9" w14:textId="204C8AA8" w:rsidR="00520E16" w:rsidRDefault="00520E16" w:rsidP="007E751D">
            <w:pPr>
              <w:pStyle w:val="TableSideHeading"/>
              <w:keepLines w:val="0"/>
              <w:rPr>
                <w:rtl/>
              </w:rPr>
            </w:pPr>
            <w:r>
              <w:rPr>
                <w:rFonts w:hint="cs"/>
                <w:rtl/>
              </w:rPr>
              <w:t xml:space="preserve">תיקון התוספת </w:t>
            </w:r>
            <w:proofErr w:type="spellStart"/>
            <w:r>
              <w:rPr>
                <w:rFonts w:hint="cs"/>
                <w:rtl/>
              </w:rPr>
              <w:t>השניה</w:t>
            </w:r>
            <w:proofErr w:type="spellEnd"/>
          </w:p>
        </w:tc>
        <w:tc>
          <w:tcPr>
            <w:tcW w:w="624" w:type="dxa"/>
          </w:tcPr>
          <w:p w14:paraId="6651CB68" w14:textId="75B74871" w:rsidR="00520E16" w:rsidRDefault="00520E16" w:rsidP="00461E2C">
            <w:pPr>
              <w:pStyle w:val="TableText"/>
              <w:numPr>
                <w:ilvl w:val="0"/>
                <w:numId w:val="2"/>
              </w:numPr>
            </w:pPr>
          </w:p>
        </w:tc>
        <w:tc>
          <w:tcPr>
            <w:tcW w:w="7146" w:type="dxa"/>
            <w:gridSpan w:val="6"/>
          </w:tcPr>
          <w:p w14:paraId="6AF54A91" w14:textId="6BE959D0" w:rsidR="00520E16" w:rsidRDefault="00520E16" w:rsidP="007E751D">
            <w:pPr>
              <w:pStyle w:val="TableBlock"/>
              <w:keepLines w:val="0"/>
              <w:rPr>
                <w:rtl/>
              </w:rPr>
            </w:pPr>
            <w:r>
              <w:rPr>
                <w:rFonts w:hint="cs"/>
                <w:rtl/>
              </w:rPr>
              <w:t xml:space="preserve">בתוספת </w:t>
            </w:r>
            <w:proofErr w:type="spellStart"/>
            <w:r>
              <w:rPr>
                <w:rFonts w:hint="cs"/>
                <w:rtl/>
              </w:rPr>
              <w:t>השניה</w:t>
            </w:r>
            <w:proofErr w:type="spellEnd"/>
            <w:r>
              <w:rPr>
                <w:rFonts w:hint="cs"/>
                <w:rtl/>
              </w:rPr>
              <w:t xml:space="preserve"> לחוק העיקרי </w:t>
            </w:r>
            <w:r>
              <w:rPr>
                <w:rtl/>
              </w:rPr>
              <w:t>–</w:t>
            </w:r>
            <w:r>
              <w:rPr>
                <w:rFonts w:hint="cs"/>
                <w:rtl/>
              </w:rPr>
              <w:t xml:space="preserve"> </w:t>
            </w:r>
          </w:p>
        </w:tc>
      </w:tr>
      <w:tr w:rsidR="00520E16" w14:paraId="5E97943A" w14:textId="77777777">
        <w:trPr>
          <w:cantSplit/>
          <w:trHeight w:val="60"/>
        </w:trPr>
        <w:tc>
          <w:tcPr>
            <w:tcW w:w="1871" w:type="dxa"/>
          </w:tcPr>
          <w:p w14:paraId="72277C0B" w14:textId="77777777" w:rsidR="00520E16" w:rsidRDefault="00520E16">
            <w:pPr>
              <w:pStyle w:val="TableSideHeading"/>
            </w:pPr>
          </w:p>
        </w:tc>
        <w:tc>
          <w:tcPr>
            <w:tcW w:w="624" w:type="dxa"/>
          </w:tcPr>
          <w:p w14:paraId="6FCE9905" w14:textId="77777777" w:rsidR="00520E16" w:rsidRDefault="00520E16">
            <w:pPr>
              <w:pStyle w:val="TableText"/>
            </w:pPr>
          </w:p>
        </w:tc>
        <w:tc>
          <w:tcPr>
            <w:tcW w:w="624" w:type="dxa"/>
          </w:tcPr>
          <w:p w14:paraId="63D14BBA" w14:textId="77777777" w:rsidR="00520E16" w:rsidRDefault="00520E16">
            <w:pPr>
              <w:pStyle w:val="TableText"/>
            </w:pPr>
          </w:p>
        </w:tc>
        <w:tc>
          <w:tcPr>
            <w:tcW w:w="6522" w:type="dxa"/>
            <w:gridSpan w:val="5"/>
          </w:tcPr>
          <w:p w14:paraId="6F530299" w14:textId="0D784969" w:rsidR="00520E16" w:rsidRDefault="00520E16" w:rsidP="00C57EB2">
            <w:pPr>
              <w:pStyle w:val="TableBlock"/>
              <w:numPr>
                <w:ilvl w:val="0"/>
                <w:numId w:val="21"/>
              </w:numPr>
              <w:tabs>
                <w:tab w:val="left" w:pos="624"/>
              </w:tabs>
            </w:pPr>
            <w:r>
              <w:rPr>
                <w:rFonts w:hint="cs"/>
                <w:rtl/>
              </w:rPr>
              <w:t xml:space="preserve">בפרט 11, </w:t>
            </w:r>
            <w:proofErr w:type="spellStart"/>
            <w:r w:rsidRPr="00520E16">
              <w:rPr>
                <w:rFonts w:hint="cs"/>
                <w:rtl/>
              </w:rPr>
              <w:t>הסיפה</w:t>
            </w:r>
            <w:proofErr w:type="spellEnd"/>
            <w:r w:rsidRPr="00520E16">
              <w:rPr>
                <w:rFonts w:hint="cs"/>
                <w:rtl/>
              </w:rPr>
              <w:t xml:space="preserve"> החל במילים "וכן תביעה נגד רשות מקרקעי ישראל"- תימחק;</w:t>
            </w:r>
          </w:p>
        </w:tc>
      </w:tr>
      <w:tr w:rsidR="00520E16" w14:paraId="44EB6560" w14:textId="77777777">
        <w:trPr>
          <w:cantSplit/>
          <w:trHeight w:val="60"/>
        </w:trPr>
        <w:tc>
          <w:tcPr>
            <w:tcW w:w="1871" w:type="dxa"/>
          </w:tcPr>
          <w:p w14:paraId="4E916755" w14:textId="77777777" w:rsidR="00520E16" w:rsidRDefault="00520E16">
            <w:pPr>
              <w:pStyle w:val="TableSideHeading"/>
            </w:pPr>
          </w:p>
        </w:tc>
        <w:tc>
          <w:tcPr>
            <w:tcW w:w="624" w:type="dxa"/>
          </w:tcPr>
          <w:p w14:paraId="3B35F654" w14:textId="77777777" w:rsidR="00520E16" w:rsidRDefault="00520E16" w:rsidP="00520E16">
            <w:pPr>
              <w:pStyle w:val="TableText"/>
            </w:pPr>
          </w:p>
        </w:tc>
        <w:tc>
          <w:tcPr>
            <w:tcW w:w="624" w:type="dxa"/>
          </w:tcPr>
          <w:p w14:paraId="2037D52D" w14:textId="77777777" w:rsidR="00520E16" w:rsidRDefault="00520E16">
            <w:pPr>
              <w:pStyle w:val="TableText"/>
            </w:pPr>
          </w:p>
        </w:tc>
        <w:tc>
          <w:tcPr>
            <w:tcW w:w="6522" w:type="dxa"/>
            <w:gridSpan w:val="5"/>
          </w:tcPr>
          <w:p w14:paraId="18F9DEF7" w14:textId="0AB5F76E" w:rsidR="00520E16" w:rsidRDefault="00520E16" w:rsidP="00C57EB2">
            <w:pPr>
              <w:pStyle w:val="TableBlock"/>
              <w:numPr>
                <w:ilvl w:val="0"/>
                <w:numId w:val="21"/>
              </w:numPr>
              <w:tabs>
                <w:tab w:val="left" w:pos="624"/>
              </w:tabs>
              <w:rPr>
                <w:rtl/>
              </w:rPr>
            </w:pPr>
            <w:r w:rsidRPr="00520E16">
              <w:rPr>
                <w:rtl/>
              </w:rPr>
              <w:t xml:space="preserve">אחרי פרט </w:t>
            </w:r>
            <w:r w:rsidRPr="00520E16">
              <w:rPr>
                <w:rFonts w:ascii="David" w:hAnsi="David"/>
                <w:sz w:val="26"/>
              </w:rPr>
              <w:t>14</w:t>
            </w:r>
            <w:r w:rsidRPr="00520E16">
              <w:rPr>
                <w:rFonts w:ascii="David" w:hAnsi="David"/>
                <w:sz w:val="26"/>
                <w:rtl/>
              </w:rPr>
              <w:t xml:space="preserve"> </w:t>
            </w:r>
            <w:r w:rsidRPr="00520E16">
              <w:rPr>
                <w:rFonts w:hint="cs"/>
                <w:rtl/>
              </w:rPr>
              <w:t>יבוא:</w:t>
            </w:r>
          </w:p>
        </w:tc>
      </w:tr>
      <w:tr w:rsidR="00520E16" w14:paraId="278ABBD0" w14:textId="77777777">
        <w:trPr>
          <w:cantSplit/>
          <w:trHeight w:val="60"/>
        </w:trPr>
        <w:tc>
          <w:tcPr>
            <w:tcW w:w="1871" w:type="dxa"/>
          </w:tcPr>
          <w:p w14:paraId="16FAD245" w14:textId="77777777" w:rsidR="00520E16" w:rsidRDefault="00520E16">
            <w:pPr>
              <w:pStyle w:val="TableSideHeading"/>
            </w:pPr>
          </w:p>
        </w:tc>
        <w:tc>
          <w:tcPr>
            <w:tcW w:w="624" w:type="dxa"/>
          </w:tcPr>
          <w:p w14:paraId="2F61627B" w14:textId="77777777" w:rsidR="00520E16" w:rsidRDefault="00520E16">
            <w:pPr>
              <w:pStyle w:val="TableText"/>
            </w:pPr>
          </w:p>
        </w:tc>
        <w:tc>
          <w:tcPr>
            <w:tcW w:w="624" w:type="dxa"/>
          </w:tcPr>
          <w:p w14:paraId="460BD21D" w14:textId="77777777" w:rsidR="00520E16" w:rsidRDefault="00520E16">
            <w:pPr>
              <w:pStyle w:val="TableText"/>
            </w:pPr>
          </w:p>
        </w:tc>
        <w:tc>
          <w:tcPr>
            <w:tcW w:w="624" w:type="dxa"/>
          </w:tcPr>
          <w:p w14:paraId="4E887CAC" w14:textId="5304434E" w:rsidR="00520E16" w:rsidRDefault="00520E16">
            <w:pPr>
              <w:pStyle w:val="TableText"/>
            </w:pPr>
            <w:r>
              <w:rPr>
                <w:rFonts w:hint="cs"/>
                <w:rtl/>
              </w:rPr>
              <w:t>"15.</w:t>
            </w:r>
          </w:p>
        </w:tc>
        <w:tc>
          <w:tcPr>
            <w:tcW w:w="5898" w:type="dxa"/>
            <w:gridSpan w:val="4"/>
          </w:tcPr>
          <w:p w14:paraId="6523C007" w14:textId="0FA1D519" w:rsidR="00520E16" w:rsidRDefault="00520E16">
            <w:pPr>
              <w:pStyle w:val="TableBlock"/>
            </w:pPr>
            <w:r w:rsidRPr="00EE0B04">
              <w:rPr>
                <w:rFonts w:ascii="David" w:hAnsi="David"/>
                <w:sz w:val="26"/>
                <w:rtl/>
              </w:rPr>
              <w:t>תביעה נגד רשות מקרקעי ישראל</w:t>
            </w:r>
            <w:r w:rsidRPr="00EE0B04">
              <w:rPr>
                <w:rFonts w:ascii="David" w:hAnsi="David" w:hint="cs"/>
                <w:sz w:val="26"/>
                <w:rtl/>
              </w:rPr>
              <w:t xml:space="preserve">, </w:t>
            </w:r>
            <w:r w:rsidRPr="00EE0B04">
              <w:rPr>
                <w:rFonts w:ascii="David" w:hAnsi="David" w:hint="eastAsia"/>
                <w:sz w:val="26"/>
                <w:rtl/>
              </w:rPr>
              <w:t>כמשמעותה</w:t>
            </w:r>
            <w:r w:rsidRPr="00EE0B04">
              <w:rPr>
                <w:rFonts w:ascii="David" w:hAnsi="David"/>
                <w:sz w:val="26"/>
                <w:rtl/>
              </w:rPr>
              <w:t xml:space="preserve"> </w:t>
            </w:r>
            <w:r w:rsidRPr="00EE0B04">
              <w:rPr>
                <w:rFonts w:ascii="David" w:hAnsi="David" w:hint="eastAsia"/>
                <w:sz w:val="26"/>
                <w:rtl/>
              </w:rPr>
              <w:t>בחוק</w:t>
            </w:r>
            <w:r w:rsidRPr="00EE0B04">
              <w:rPr>
                <w:rFonts w:ascii="David" w:hAnsi="David"/>
                <w:sz w:val="26"/>
                <w:rtl/>
              </w:rPr>
              <w:t xml:space="preserve"> </w:t>
            </w:r>
            <w:r w:rsidRPr="00EE0B04">
              <w:rPr>
                <w:rFonts w:ascii="David" w:hAnsi="David" w:hint="eastAsia"/>
                <w:sz w:val="26"/>
                <w:rtl/>
              </w:rPr>
              <w:t>רשות</w:t>
            </w:r>
            <w:r w:rsidRPr="00EE0B04">
              <w:rPr>
                <w:rFonts w:ascii="David" w:hAnsi="David"/>
                <w:sz w:val="26"/>
                <w:rtl/>
              </w:rPr>
              <w:t xml:space="preserve"> </w:t>
            </w:r>
            <w:r w:rsidRPr="00EE0B04">
              <w:rPr>
                <w:rFonts w:ascii="David" w:hAnsi="David" w:hint="eastAsia"/>
                <w:sz w:val="26"/>
                <w:rtl/>
              </w:rPr>
              <w:t>מקרקעי</w:t>
            </w:r>
            <w:r w:rsidRPr="00EE0B04">
              <w:rPr>
                <w:rFonts w:ascii="David" w:hAnsi="David"/>
                <w:sz w:val="26"/>
                <w:rtl/>
              </w:rPr>
              <w:t xml:space="preserve"> </w:t>
            </w:r>
            <w:r w:rsidRPr="00EE0B04">
              <w:rPr>
                <w:rFonts w:ascii="David" w:hAnsi="David" w:hint="eastAsia"/>
                <w:sz w:val="26"/>
                <w:rtl/>
              </w:rPr>
              <w:t>ישראל</w:t>
            </w:r>
            <w:r w:rsidRPr="00EE0B04">
              <w:rPr>
                <w:rFonts w:ascii="David" w:hAnsi="David"/>
                <w:sz w:val="26"/>
                <w:rtl/>
              </w:rPr>
              <w:t xml:space="preserve">, </w:t>
            </w:r>
            <w:r w:rsidRPr="00EE0B04">
              <w:rPr>
                <w:rFonts w:ascii="David" w:hAnsi="David" w:hint="eastAsia"/>
                <w:sz w:val="26"/>
                <w:rtl/>
              </w:rPr>
              <w:t>התש</w:t>
            </w:r>
            <w:r w:rsidRPr="00EE0B04">
              <w:rPr>
                <w:rFonts w:ascii="David" w:hAnsi="David"/>
                <w:sz w:val="26"/>
                <w:rtl/>
              </w:rPr>
              <w:t>"ך-1960</w:t>
            </w:r>
            <w:r>
              <w:rPr>
                <w:rStyle w:val="a7"/>
                <w:rFonts w:ascii="David" w:hAnsi="David"/>
                <w:sz w:val="26"/>
                <w:rtl/>
              </w:rPr>
              <w:footnoteReference w:id="13"/>
            </w:r>
            <w:r w:rsidRPr="00EE0B04">
              <w:rPr>
                <w:rFonts w:ascii="David" w:hAnsi="David" w:hint="cs"/>
                <w:sz w:val="26"/>
                <w:rtl/>
              </w:rPr>
              <w:t xml:space="preserve">, </w:t>
            </w:r>
            <w:r w:rsidRPr="00EE0B04">
              <w:rPr>
                <w:rFonts w:ascii="David" w:hAnsi="David"/>
                <w:sz w:val="26"/>
                <w:rtl/>
              </w:rPr>
              <w:t xml:space="preserve">להשבת סכומים שגבתה שלא כדין </w:t>
            </w:r>
            <w:r w:rsidRPr="00EE0B04">
              <w:rPr>
                <w:rFonts w:ascii="David" w:hAnsi="David" w:hint="eastAsia"/>
                <w:sz w:val="26"/>
                <w:rtl/>
              </w:rPr>
              <w:t>במסגרת</w:t>
            </w:r>
            <w:r w:rsidRPr="00EE0B04">
              <w:rPr>
                <w:rFonts w:ascii="David" w:hAnsi="David"/>
                <w:sz w:val="26"/>
                <w:rtl/>
              </w:rPr>
              <w:t xml:space="preserve"> פעילותה לפי </w:t>
            </w:r>
            <w:r w:rsidRPr="00EE0B04">
              <w:rPr>
                <w:rFonts w:ascii="David" w:hAnsi="David" w:hint="cs"/>
                <w:sz w:val="26"/>
                <w:rtl/>
              </w:rPr>
              <w:t xml:space="preserve">אותו </w:t>
            </w:r>
            <w:r w:rsidRPr="00EE0B04">
              <w:rPr>
                <w:rFonts w:ascii="David" w:hAnsi="David"/>
                <w:sz w:val="26"/>
                <w:rtl/>
              </w:rPr>
              <w:t xml:space="preserve">חוק, אף אם אינם בגדר תשלום חובה; </w:t>
            </w:r>
            <w:r w:rsidRPr="00EE0B04">
              <w:rPr>
                <w:rFonts w:ascii="David" w:hAnsi="David" w:hint="eastAsia"/>
                <w:sz w:val="26"/>
                <w:rtl/>
              </w:rPr>
              <w:t>תביעה</w:t>
            </w:r>
            <w:r w:rsidRPr="00EE0B04">
              <w:rPr>
                <w:rFonts w:ascii="David" w:hAnsi="David"/>
                <w:sz w:val="26"/>
                <w:rtl/>
              </w:rPr>
              <w:t xml:space="preserve"> </w:t>
            </w:r>
            <w:r w:rsidRPr="00EE0B04">
              <w:rPr>
                <w:rFonts w:ascii="David" w:hAnsi="David" w:hint="eastAsia"/>
                <w:sz w:val="26"/>
                <w:rtl/>
              </w:rPr>
              <w:t>כאמור</w:t>
            </w:r>
            <w:r w:rsidRPr="00EE0B04">
              <w:rPr>
                <w:rFonts w:ascii="David" w:hAnsi="David"/>
                <w:sz w:val="26"/>
                <w:rtl/>
              </w:rPr>
              <w:t xml:space="preserve"> </w:t>
            </w:r>
            <w:r w:rsidRPr="00EE0B04">
              <w:rPr>
                <w:rFonts w:ascii="David" w:hAnsi="David" w:hint="eastAsia"/>
                <w:sz w:val="26"/>
                <w:rtl/>
              </w:rPr>
              <w:t>תוגש</w:t>
            </w:r>
            <w:r w:rsidRPr="00EE0B04">
              <w:rPr>
                <w:rFonts w:ascii="David" w:hAnsi="David"/>
                <w:sz w:val="26"/>
                <w:rtl/>
              </w:rPr>
              <w:t xml:space="preserve"> </w:t>
            </w:r>
            <w:r w:rsidRPr="00EE0B04">
              <w:rPr>
                <w:rFonts w:ascii="David" w:hAnsi="David" w:hint="eastAsia"/>
                <w:sz w:val="26"/>
                <w:rtl/>
              </w:rPr>
              <w:t>לפי</w:t>
            </w:r>
            <w:r w:rsidRPr="00EE0B04">
              <w:rPr>
                <w:rFonts w:ascii="David" w:hAnsi="David"/>
                <w:sz w:val="26"/>
                <w:rtl/>
              </w:rPr>
              <w:t xml:space="preserve"> </w:t>
            </w:r>
            <w:r w:rsidRPr="00EE0B04">
              <w:rPr>
                <w:rFonts w:ascii="David" w:hAnsi="David" w:hint="eastAsia"/>
                <w:sz w:val="26"/>
                <w:rtl/>
              </w:rPr>
              <w:t>פרט</w:t>
            </w:r>
            <w:r w:rsidRPr="00EE0B04">
              <w:rPr>
                <w:rFonts w:ascii="David" w:hAnsi="David"/>
                <w:sz w:val="26"/>
                <w:rtl/>
              </w:rPr>
              <w:t xml:space="preserve"> </w:t>
            </w:r>
            <w:r w:rsidRPr="00EE0B04">
              <w:rPr>
                <w:rFonts w:ascii="David" w:hAnsi="David" w:hint="eastAsia"/>
                <w:sz w:val="26"/>
                <w:rtl/>
              </w:rPr>
              <w:t>זה</w:t>
            </w:r>
            <w:r w:rsidRPr="00EE0B04">
              <w:rPr>
                <w:rFonts w:ascii="David" w:hAnsi="David"/>
                <w:sz w:val="26"/>
                <w:rtl/>
              </w:rPr>
              <w:t xml:space="preserve"> </w:t>
            </w:r>
            <w:r w:rsidRPr="00EE0B04">
              <w:rPr>
                <w:rFonts w:ascii="David" w:hAnsi="David" w:hint="eastAsia"/>
                <w:sz w:val="26"/>
                <w:rtl/>
              </w:rPr>
              <w:t>בלבד</w:t>
            </w:r>
            <w:r w:rsidRPr="00EE0B04">
              <w:rPr>
                <w:rFonts w:ascii="David" w:hAnsi="David"/>
                <w:sz w:val="26"/>
                <w:rtl/>
              </w:rPr>
              <w:t>;</w:t>
            </w:r>
          </w:p>
        </w:tc>
      </w:tr>
      <w:tr w:rsidR="00520E16" w14:paraId="416F4F0A" w14:textId="77777777">
        <w:trPr>
          <w:cantSplit/>
          <w:trHeight w:val="60"/>
        </w:trPr>
        <w:tc>
          <w:tcPr>
            <w:tcW w:w="1871" w:type="dxa"/>
          </w:tcPr>
          <w:p w14:paraId="0FDB49A8" w14:textId="77777777" w:rsidR="00520E16" w:rsidRDefault="00520E16">
            <w:pPr>
              <w:pStyle w:val="TableSideHeading"/>
            </w:pPr>
          </w:p>
        </w:tc>
        <w:tc>
          <w:tcPr>
            <w:tcW w:w="624" w:type="dxa"/>
          </w:tcPr>
          <w:p w14:paraId="6AA56248" w14:textId="77777777" w:rsidR="00520E16" w:rsidRDefault="00520E16" w:rsidP="00520E16">
            <w:pPr>
              <w:pStyle w:val="TableText"/>
            </w:pPr>
          </w:p>
        </w:tc>
        <w:tc>
          <w:tcPr>
            <w:tcW w:w="624" w:type="dxa"/>
          </w:tcPr>
          <w:p w14:paraId="65B86375" w14:textId="77777777" w:rsidR="00520E16" w:rsidRDefault="00520E16">
            <w:pPr>
              <w:pStyle w:val="TableText"/>
            </w:pPr>
          </w:p>
        </w:tc>
        <w:tc>
          <w:tcPr>
            <w:tcW w:w="624" w:type="dxa"/>
          </w:tcPr>
          <w:p w14:paraId="6DCC70A5" w14:textId="04ED8940" w:rsidR="00520E16" w:rsidRDefault="00520E16">
            <w:pPr>
              <w:pStyle w:val="TableText"/>
              <w:rPr>
                <w:rtl/>
              </w:rPr>
            </w:pPr>
            <w:r>
              <w:rPr>
                <w:rFonts w:hint="cs"/>
                <w:rtl/>
              </w:rPr>
              <w:t xml:space="preserve">16. </w:t>
            </w:r>
          </w:p>
        </w:tc>
        <w:tc>
          <w:tcPr>
            <w:tcW w:w="5898" w:type="dxa"/>
            <w:gridSpan w:val="4"/>
          </w:tcPr>
          <w:p w14:paraId="570A4E6B" w14:textId="2DEECB30" w:rsidR="00520E16" w:rsidRPr="00EE0B04" w:rsidRDefault="00520E16">
            <w:pPr>
              <w:pStyle w:val="TableBlock"/>
              <w:rPr>
                <w:rFonts w:ascii="David" w:hAnsi="David"/>
                <w:sz w:val="26"/>
                <w:rtl/>
              </w:rPr>
            </w:pPr>
            <w:r w:rsidRPr="00EE0B04">
              <w:rPr>
                <w:rFonts w:ascii="David" w:hAnsi="David" w:hint="eastAsia"/>
                <w:sz w:val="26"/>
                <w:rtl/>
              </w:rPr>
              <w:t>תביעה</w:t>
            </w:r>
            <w:r w:rsidRPr="00EE0B04">
              <w:rPr>
                <w:rFonts w:ascii="David" w:hAnsi="David"/>
                <w:sz w:val="26"/>
                <w:rtl/>
              </w:rPr>
              <w:t xml:space="preserve"> </w:t>
            </w:r>
            <w:r w:rsidRPr="00EE0B04">
              <w:rPr>
                <w:rFonts w:ascii="David" w:hAnsi="David" w:hint="eastAsia"/>
                <w:sz w:val="26"/>
                <w:rtl/>
              </w:rPr>
              <w:t>נגד</w:t>
            </w:r>
            <w:r w:rsidRPr="00EE0B04">
              <w:rPr>
                <w:rFonts w:ascii="David" w:hAnsi="David"/>
                <w:sz w:val="26"/>
                <w:rtl/>
              </w:rPr>
              <w:t xml:space="preserve"> </w:t>
            </w:r>
            <w:r w:rsidRPr="00EE0B04">
              <w:rPr>
                <w:rFonts w:ascii="David" w:hAnsi="David" w:hint="eastAsia"/>
                <w:sz w:val="26"/>
                <w:rtl/>
              </w:rPr>
              <w:t>תאגיד</w:t>
            </w:r>
            <w:r w:rsidRPr="00EE0B04">
              <w:rPr>
                <w:rFonts w:ascii="David" w:hAnsi="David"/>
                <w:sz w:val="26"/>
                <w:rtl/>
              </w:rPr>
              <w:t xml:space="preserve"> </w:t>
            </w:r>
            <w:r w:rsidRPr="00EE0B04">
              <w:rPr>
                <w:rFonts w:ascii="David" w:hAnsi="David" w:hint="eastAsia"/>
                <w:sz w:val="26"/>
                <w:rtl/>
              </w:rPr>
              <w:t>מים</w:t>
            </w:r>
            <w:r w:rsidRPr="00EE0B04">
              <w:rPr>
                <w:rFonts w:ascii="David" w:hAnsi="David"/>
                <w:sz w:val="26"/>
                <w:rtl/>
              </w:rPr>
              <w:t xml:space="preserve"> </w:t>
            </w:r>
            <w:r w:rsidRPr="00EE0B04">
              <w:rPr>
                <w:rFonts w:ascii="David" w:hAnsi="David" w:hint="eastAsia"/>
                <w:sz w:val="26"/>
                <w:rtl/>
              </w:rPr>
              <w:t>וביוב</w:t>
            </w:r>
            <w:r w:rsidRPr="00EE0B04">
              <w:rPr>
                <w:rFonts w:ascii="David" w:hAnsi="David" w:hint="cs"/>
                <w:sz w:val="26"/>
                <w:rtl/>
              </w:rPr>
              <w:t xml:space="preserve"> או מועצה מקומית</w:t>
            </w:r>
            <w:r w:rsidRPr="00EE0B04">
              <w:rPr>
                <w:rFonts w:ascii="David" w:hAnsi="David"/>
                <w:sz w:val="26"/>
                <w:rtl/>
              </w:rPr>
              <w:t xml:space="preserve">, </w:t>
            </w:r>
            <w:r w:rsidRPr="00EE0B04">
              <w:rPr>
                <w:rFonts w:ascii="David" w:hAnsi="David" w:hint="eastAsia"/>
                <w:sz w:val="26"/>
                <w:rtl/>
              </w:rPr>
              <w:t>להשבת</w:t>
            </w:r>
            <w:r w:rsidRPr="00EE0B04">
              <w:rPr>
                <w:rFonts w:ascii="David" w:hAnsi="David"/>
                <w:sz w:val="26"/>
                <w:rtl/>
              </w:rPr>
              <w:t xml:space="preserve"> </w:t>
            </w:r>
            <w:r w:rsidRPr="00EE0B04">
              <w:rPr>
                <w:rFonts w:ascii="David" w:hAnsi="David" w:hint="eastAsia"/>
                <w:sz w:val="26"/>
                <w:rtl/>
              </w:rPr>
              <w:t>סכומים</w:t>
            </w:r>
            <w:r w:rsidRPr="00EE0B04">
              <w:rPr>
                <w:rFonts w:ascii="David" w:hAnsi="David"/>
                <w:sz w:val="26"/>
                <w:rtl/>
              </w:rPr>
              <w:t xml:space="preserve"> </w:t>
            </w:r>
            <w:r w:rsidRPr="00EE0B04">
              <w:rPr>
                <w:rFonts w:ascii="David" w:hAnsi="David" w:hint="eastAsia"/>
                <w:sz w:val="26"/>
                <w:rtl/>
              </w:rPr>
              <w:t>שגב</w:t>
            </w:r>
            <w:r w:rsidRPr="00EE0B04">
              <w:rPr>
                <w:rFonts w:ascii="David" w:hAnsi="David" w:hint="cs"/>
                <w:sz w:val="26"/>
                <w:rtl/>
              </w:rPr>
              <w:t>ו</w:t>
            </w:r>
            <w:r w:rsidRPr="00EE0B04">
              <w:rPr>
                <w:rFonts w:ascii="David" w:hAnsi="David"/>
                <w:sz w:val="26"/>
                <w:rtl/>
              </w:rPr>
              <w:t xml:space="preserve"> </w:t>
            </w:r>
            <w:r w:rsidRPr="00EE0B04">
              <w:rPr>
                <w:rFonts w:ascii="David" w:hAnsi="David" w:hint="eastAsia"/>
                <w:sz w:val="26"/>
                <w:rtl/>
              </w:rPr>
              <w:t>שלא</w:t>
            </w:r>
            <w:r w:rsidRPr="00EE0B04">
              <w:rPr>
                <w:rFonts w:ascii="David" w:hAnsi="David"/>
                <w:sz w:val="26"/>
                <w:rtl/>
              </w:rPr>
              <w:t xml:space="preserve"> </w:t>
            </w:r>
            <w:r w:rsidRPr="00EE0B04">
              <w:rPr>
                <w:rFonts w:ascii="David" w:hAnsi="David" w:hint="eastAsia"/>
                <w:sz w:val="26"/>
                <w:rtl/>
              </w:rPr>
              <w:t>כדין</w:t>
            </w:r>
            <w:r w:rsidRPr="00EE0B04">
              <w:rPr>
                <w:rFonts w:ascii="David" w:hAnsi="David"/>
                <w:sz w:val="26"/>
                <w:rtl/>
              </w:rPr>
              <w:t xml:space="preserve">, </w:t>
            </w:r>
            <w:r w:rsidRPr="00EE0B04">
              <w:rPr>
                <w:rFonts w:ascii="David" w:hAnsi="David" w:hint="eastAsia"/>
                <w:sz w:val="26"/>
                <w:rtl/>
              </w:rPr>
              <w:t>במסגרת</w:t>
            </w:r>
            <w:r w:rsidRPr="00EE0B04">
              <w:rPr>
                <w:rFonts w:ascii="David" w:hAnsi="David"/>
                <w:sz w:val="26"/>
                <w:rtl/>
              </w:rPr>
              <w:t xml:space="preserve"> </w:t>
            </w:r>
            <w:r w:rsidRPr="00EE0B04">
              <w:rPr>
                <w:rFonts w:ascii="David" w:hAnsi="David" w:hint="eastAsia"/>
                <w:sz w:val="26"/>
                <w:rtl/>
              </w:rPr>
              <w:t>פעילות</w:t>
            </w:r>
            <w:r w:rsidRPr="00EE0B04">
              <w:rPr>
                <w:rFonts w:ascii="David" w:hAnsi="David" w:hint="cs"/>
                <w:sz w:val="26"/>
                <w:rtl/>
              </w:rPr>
              <w:t>ם</w:t>
            </w:r>
            <w:r w:rsidRPr="00EE0B04">
              <w:rPr>
                <w:rFonts w:ascii="David" w:hAnsi="David"/>
                <w:sz w:val="26"/>
                <w:rtl/>
              </w:rPr>
              <w:t xml:space="preserve"> </w:t>
            </w:r>
            <w:r w:rsidRPr="00EE0B04">
              <w:rPr>
                <w:rFonts w:ascii="David" w:hAnsi="David" w:hint="eastAsia"/>
                <w:sz w:val="26"/>
                <w:rtl/>
              </w:rPr>
              <w:t>למתן</w:t>
            </w:r>
            <w:r w:rsidRPr="00EE0B04">
              <w:rPr>
                <w:rFonts w:ascii="David" w:hAnsi="David"/>
                <w:sz w:val="26"/>
                <w:rtl/>
              </w:rPr>
              <w:t xml:space="preserve"> </w:t>
            </w:r>
            <w:r w:rsidRPr="00EE0B04">
              <w:rPr>
                <w:rFonts w:ascii="David" w:hAnsi="David" w:hint="eastAsia"/>
                <w:sz w:val="26"/>
                <w:rtl/>
              </w:rPr>
              <w:t>שירותי</w:t>
            </w:r>
            <w:r w:rsidRPr="00EE0B04">
              <w:rPr>
                <w:rFonts w:ascii="David" w:hAnsi="David"/>
                <w:sz w:val="26"/>
                <w:rtl/>
              </w:rPr>
              <w:t xml:space="preserve"> </w:t>
            </w:r>
            <w:r w:rsidRPr="00EE0B04">
              <w:rPr>
                <w:rFonts w:ascii="David" w:hAnsi="David" w:hint="eastAsia"/>
                <w:sz w:val="26"/>
                <w:rtl/>
              </w:rPr>
              <w:t>מים</w:t>
            </w:r>
            <w:r w:rsidRPr="00EE0B04">
              <w:rPr>
                <w:rFonts w:ascii="David" w:hAnsi="David"/>
                <w:sz w:val="26"/>
                <w:rtl/>
              </w:rPr>
              <w:t xml:space="preserve"> </w:t>
            </w:r>
            <w:r w:rsidRPr="00EE0B04">
              <w:rPr>
                <w:rFonts w:ascii="David" w:hAnsi="David" w:hint="eastAsia"/>
                <w:sz w:val="26"/>
                <w:rtl/>
              </w:rPr>
              <w:t>וביוב</w:t>
            </w:r>
            <w:r w:rsidRPr="00EE0B04">
              <w:rPr>
                <w:rFonts w:ascii="David" w:hAnsi="David"/>
                <w:sz w:val="26"/>
                <w:rtl/>
              </w:rPr>
              <w:t xml:space="preserve"> </w:t>
            </w:r>
            <w:r w:rsidRPr="00EE0B04">
              <w:rPr>
                <w:rFonts w:ascii="David" w:hAnsi="David" w:hint="eastAsia"/>
                <w:sz w:val="26"/>
                <w:rtl/>
              </w:rPr>
              <w:t>כהגדרת</w:t>
            </w:r>
            <w:r w:rsidRPr="00EE0B04">
              <w:rPr>
                <w:rFonts w:ascii="David" w:hAnsi="David" w:hint="cs"/>
                <w:sz w:val="26"/>
                <w:rtl/>
              </w:rPr>
              <w:t>ם</w:t>
            </w:r>
            <w:r w:rsidRPr="00EE0B04">
              <w:rPr>
                <w:rFonts w:ascii="David" w:hAnsi="David"/>
                <w:sz w:val="26"/>
                <w:rtl/>
              </w:rPr>
              <w:t xml:space="preserve"> </w:t>
            </w:r>
            <w:r w:rsidRPr="00EE0B04">
              <w:rPr>
                <w:rFonts w:ascii="David" w:hAnsi="David" w:hint="eastAsia"/>
                <w:sz w:val="26"/>
                <w:rtl/>
              </w:rPr>
              <w:t>בחוק</w:t>
            </w:r>
            <w:r w:rsidRPr="00EE0B04">
              <w:rPr>
                <w:rFonts w:ascii="David" w:hAnsi="David"/>
                <w:sz w:val="26"/>
                <w:rtl/>
              </w:rPr>
              <w:t xml:space="preserve"> </w:t>
            </w:r>
            <w:r w:rsidRPr="00EE0B04">
              <w:rPr>
                <w:rFonts w:ascii="David" w:hAnsi="David" w:hint="eastAsia"/>
                <w:sz w:val="26"/>
                <w:rtl/>
              </w:rPr>
              <w:t>תאגידי</w:t>
            </w:r>
            <w:r w:rsidRPr="00EE0B04">
              <w:rPr>
                <w:rFonts w:ascii="David" w:hAnsi="David"/>
                <w:sz w:val="26"/>
                <w:rtl/>
              </w:rPr>
              <w:t xml:space="preserve"> </w:t>
            </w:r>
            <w:r w:rsidRPr="00EE0B04">
              <w:rPr>
                <w:rFonts w:ascii="David" w:hAnsi="David" w:hint="eastAsia"/>
                <w:sz w:val="26"/>
                <w:rtl/>
              </w:rPr>
              <w:t>מים</w:t>
            </w:r>
            <w:r w:rsidRPr="00EE0B04">
              <w:rPr>
                <w:rFonts w:ascii="David" w:hAnsi="David"/>
                <w:sz w:val="26"/>
                <w:rtl/>
              </w:rPr>
              <w:t xml:space="preserve"> </w:t>
            </w:r>
            <w:r w:rsidRPr="00EE0B04">
              <w:rPr>
                <w:rFonts w:ascii="David" w:hAnsi="David" w:hint="eastAsia"/>
                <w:sz w:val="26"/>
                <w:rtl/>
              </w:rPr>
              <w:t>וביוב</w:t>
            </w:r>
            <w:r w:rsidRPr="00EE0B04">
              <w:rPr>
                <w:rFonts w:ascii="David" w:hAnsi="David"/>
                <w:sz w:val="26"/>
                <w:rtl/>
              </w:rPr>
              <w:t xml:space="preserve">; </w:t>
            </w:r>
            <w:r w:rsidRPr="00EE0B04">
              <w:rPr>
                <w:rFonts w:ascii="David" w:hAnsi="David" w:hint="eastAsia"/>
                <w:sz w:val="26"/>
                <w:rtl/>
              </w:rPr>
              <w:t>תביעה</w:t>
            </w:r>
            <w:r w:rsidRPr="00EE0B04">
              <w:rPr>
                <w:rFonts w:ascii="David" w:hAnsi="David"/>
                <w:sz w:val="26"/>
                <w:rtl/>
              </w:rPr>
              <w:t xml:space="preserve"> </w:t>
            </w:r>
            <w:r w:rsidRPr="00EE0B04">
              <w:rPr>
                <w:rFonts w:ascii="David" w:hAnsi="David" w:hint="eastAsia"/>
                <w:sz w:val="26"/>
                <w:rtl/>
              </w:rPr>
              <w:t>כאמור</w:t>
            </w:r>
            <w:r w:rsidRPr="00EE0B04">
              <w:rPr>
                <w:rFonts w:ascii="David" w:hAnsi="David"/>
                <w:sz w:val="26"/>
                <w:rtl/>
              </w:rPr>
              <w:t xml:space="preserve"> </w:t>
            </w:r>
            <w:r w:rsidRPr="00EE0B04">
              <w:rPr>
                <w:rFonts w:ascii="David" w:hAnsi="David" w:hint="eastAsia"/>
                <w:sz w:val="26"/>
                <w:rtl/>
              </w:rPr>
              <w:t>תוגש</w:t>
            </w:r>
            <w:r w:rsidRPr="00EE0B04">
              <w:rPr>
                <w:rFonts w:ascii="David" w:hAnsi="David"/>
                <w:sz w:val="26"/>
                <w:rtl/>
              </w:rPr>
              <w:t xml:space="preserve"> </w:t>
            </w:r>
            <w:r w:rsidRPr="00EE0B04">
              <w:rPr>
                <w:rFonts w:ascii="David" w:hAnsi="David" w:hint="eastAsia"/>
                <w:sz w:val="26"/>
                <w:rtl/>
              </w:rPr>
              <w:t>לפי</w:t>
            </w:r>
            <w:r w:rsidRPr="00EE0B04">
              <w:rPr>
                <w:rFonts w:ascii="David" w:hAnsi="David"/>
                <w:sz w:val="26"/>
                <w:rtl/>
              </w:rPr>
              <w:t xml:space="preserve"> </w:t>
            </w:r>
            <w:r w:rsidRPr="00EE0B04">
              <w:rPr>
                <w:rFonts w:ascii="David" w:hAnsi="David" w:hint="eastAsia"/>
                <w:sz w:val="26"/>
                <w:rtl/>
              </w:rPr>
              <w:t>פרט</w:t>
            </w:r>
            <w:r w:rsidRPr="00EE0B04">
              <w:rPr>
                <w:rFonts w:ascii="David" w:hAnsi="David"/>
                <w:sz w:val="26"/>
                <w:rtl/>
              </w:rPr>
              <w:t xml:space="preserve"> </w:t>
            </w:r>
            <w:r w:rsidRPr="00EE0B04">
              <w:rPr>
                <w:rFonts w:ascii="David" w:hAnsi="David" w:hint="eastAsia"/>
                <w:sz w:val="26"/>
                <w:rtl/>
              </w:rPr>
              <w:t>זה</w:t>
            </w:r>
            <w:r w:rsidRPr="00EE0B04">
              <w:rPr>
                <w:rFonts w:ascii="David" w:hAnsi="David"/>
                <w:sz w:val="26"/>
                <w:rtl/>
              </w:rPr>
              <w:t xml:space="preserve"> </w:t>
            </w:r>
            <w:r w:rsidRPr="00EE0B04">
              <w:rPr>
                <w:rFonts w:ascii="David" w:hAnsi="David" w:hint="eastAsia"/>
                <w:sz w:val="26"/>
                <w:rtl/>
              </w:rPr>
              <w:t>בלבד</w:t>
            </w:r>
            <w:r w:rsidRPr="00EE0B04">
              <w:rPr>
                <w:rFonts w:ascii="David" w:hAnsi="David"/>
                <w:sz w:val="26"/>
                <w:rtl/>
              </w:rPr>
              <w:t>;</w:t>
            </w:r>
          </w:p>
        </w:tc>
      </w:tr>
      <w:tr w:rsidR="00520E16" w14:paraId="45992B5D" w14:textId="77777777">
        <w:trPr>
          <w:cantSplit/>
          <w:trHeight w:val="60"/>
        </w:trPr>
        <w:tc>
          <w:tcPr>
            <w:tcW w:w="1871" w:type="dxa"/>
          </w:tcPr>
          <w:p w14:paraId="60CBC6D7" w14:textId="77777777" w:rsidR="00520E16" w:rsidRDefault="00520E16">
            <w:pPr>
              <w:pStyle w:val="TableSideHeading"/>
            </w:pPr>
          </w:p>
        </w:tc>
        <w:tc>
          <w:tcPr>
            <w:tcW w:w="624" w:type="dxa"/>
          </w:tcPr>
          <w:p w14:paraId="0497FEC0" w14:textId="77777777" w:rsidR="00520E16" w:rsidRDefault="00520E16" w:rsidP="00520E16">
            <w:pPr>
              <w:pStyle w:val="TableText"/>
            </w:pPr>
          </w:p>
        </w:tc>
        <w:tc>
          <w:tcPr>
            <w:tcW w:w="624" w:type="dxa"/>
          </w:tcPr>
          <w:p w14:paraId="5614BAA7" w14:textId="77777777" w:rsidR="00520E16" w:rsidRDefault="00520E16">
            <w:pPr>
              <w:pStyle w:val="TableText"/>
            </w:pPr>
          </w:p>
        </w:tc>
        <w:tc>
          <w:tcPr>
            <w:tcW w:w="624" w:type="dxa"/>
          </w:tcPr>
          <w:p w14:paraId="74498DA1" w14:textId="77777777" w:rsidR="00520E16" w:rsidRDefault="00520E16">
            <w:pPr>
              <w:pStyle w:val="TableText"/>
              <w:rPr>
                <w:rtl/>
              </w:rPr>
            </w:pPr>
          </w:p>
        </w:tc>
        <w:tc>
          <w:tcPr>
            <w:tcW w:w="5898" w:type="dxa"/>
            <w:gridSpan w:val="4"/>
          </w:tcPr>
          <w:p w14:paraId="44CB4815" w14:textId="2C690B7D" w:rsidR="00520E16" w:rsidRPr="00EE0B04" w:rsidRDefault="00520E16">
            <w:pPr>
              <w:pStyle w:val="TableBlock"/>
              <w:rPr>
                <w:rFonts w:ascii="David" w:hAnsi="David"/>
                <w:sz w:val="26"/>
                <w:rtl/>
              </w:rPr>
            </w:pPr>
            <w:r w:rsidRPr="00EE0B04">
              <w:rPr>
                <w:rFonts w:ascii="David" w:hAnsi="David" w:hint="cs"/>
                <w:sz w:val="26"/>
                <w:rtl/>
              </w:rPr>
              <w:t>בפרט זה -</w:t>
            </w:r>
          </w:p>
        </w:tc>
      </w:tr>
      <w:tr w:rsidR="00520E16" w14:paraId="02BE3507" w14:textId="77777777">
        <w:trPr>
          <w:cantSplit/>
          <w:trHeight w:val="60"/>
        </w:trPr>
        <w:tc>
          <w:tcPr>
            <w:tcW w:w="1871" w:type="dxa"/>
          </w:tcPr>
          <w:p w14:paraId="78857430" w14:textId="77777777" w:rsidR="00520E16" w:rsidRDefault="00520E16">
            <w:pPr>
              <w:pStyle w:val="TableSideHeading"/>
            </w:pPr>
          </w:p>
        </w:tc>
        <w:tc>
          <w:tcPr>
            <w:tcW w:w="624" w:type="dxa"/>
          </w:tcPr>
          <w:p w14:paraId="32C75F3B" w14:textId="77777777" w:rsidR="00520E16" w:rsidRDefault="00520E16" w:rsidP="00520E16">
            <w:pPr>
              <w:pStyle w:val="TableText"/>
            </w:pPr>
          </w:p>
        </w:tc>
        <w:tc>
          <w:tcPr>
            <w:tcW w:w="624" w:type="dxa"/>
          </w:tcPr>
          <w:p w14:paraId="259D35C6" w14:textId="77777777" w:rsidR="00520E16" w:rsidRDefault="00520E16">
            <w:pPr>
              <w:pStyle w:val="TableText"/>
            </w:pPr>
          </w:p>
        </w:tc>
        <w:tc>
          <w:tcPr>
            <w:tcW w:w="624" w:type="dxa"/>
          </w:tcPr>
          <w:p w14:paraId="1B24B085" w14:textId="77777777" w:rsidR="00520E16" w:rsidRDefault="00520E16">
            <w:pPr>
              <w:pStyle w:val="TableText"/>
              <w:rPr>
                <w:rtl/>
              </w:rPr>
            </w:pPr>
          </w:p>
        </w:tc>
        <w:tc>
          <w:tcPr>
            <w:tcW w:w="5898" w:type="dxa"/>
            <w:gridSpan w:val="4"/>
          </w:tcPr>
          <w:p w14:paraId="69948BA5" w14:textId="3232C5DF" w:rsidR="00520E16" w:rsidRPr="00EE0B04" w:rsidRDefault="00520E16">
            <w:pPr>
              <w:pStyle w:val="TableBlock"/>
              <w:rPr>
                <w:rFonts w:ascii="David" w:hAnsi="David"/>
                <w:sz w:val="26"/>
                <w:rtl/>
              </w:rPr>
            </w:pPr>
            <w:r w:rsidRPr="00EE0B04">
              <w:rPr>
                <w:rFonts w:hint="cs"/>
                <w:rtl/>
              </w:rPr>
              <w:t xml:space="preserve">"חוק תאגידי מים וביוב" </w:t>
            </w:r>
            <w:r w:rsidRPr="00EE0B04">
              <w:rPr>
                <w:rtl/>
              </w:rPr>
              <w:t>–</w:t>
            </w:r>
            <w:r w:rsidRPr="00EE0B04">
              <w:rPr>
                <w:rFonts w:hint="cs"/>
                <w:rtl/>
              </w:rPr>
              <w:t xml:space="preserve"> חוק תאגידי מים וביוב, </w:t>
            </w:r>
            <w:r w:rsidRPr="00EE0B04">
              <w:rPr>
                <w:sz w:val="26"/>
                <w:rtl/>
              </w:rPr>
              <w:t>התשס"א-2001</w:t>
            </w:r>
            <w:r>
              <w:rPr>
                <w:rStyle w:val="a7"/>
                <w:sz w:val="26"/>
                <w:rtl/>
              </w:rPr>
              <w:footnoteReference w:id="14"/>
            </w:r>
            <w:r w:rsidRPr="00EE0B04">
              <w:rPr>
                <w:rFonts w:hint="cs"/>
                <w:sz w:val="26"/>
                <w:rtl/>
              </w:rPr>
              <w:t>;</w:t>
            </w:r>
          </w:p>
        </w:tc>
      </w:tr>
      <w:tr w:rsidR="009F5BDC" w14:paraId="29AE3A6E" w14:textId="77777777">
        <w:trPr>
          <w:cantSplit/>
          <w:trHeight w:val="60"/>
        </w:trPr>
        <w:tc>
          <w:tcPr>
            <w:tcW w:w="1871" w:type="dxa"/>
          </w:tcPr>
          <w:p w14:paraId="167DE6C4" w14:textId="77777777" w:rsidR="009F5BDC" w:rsidRDefault="009F5BDC">
            <w:pPr>
              <w:pStyle w:val="TableSideHeading"/>
            </w:pPr>
          </w:p>
        </w:tc>
        <w:tc>
          <w:tcPr>
            <w:tcW w:w="624" w:type="dxa"/>
          </w:tcPr>
          <w:p w14:paraId="770AA34C" w14:textId="77777777" w:rsidR="009F5BDC" w:rsidRDefault="009F5BDC" w:rsidP="009F5BDC">
            <w:pPr>
              <w:pStyle w:val="TableText"/>
            </w:pPr>
          </w:p>
        </w:tc>
        <w:tc>
          <w:tcPr>
            <w:tcW w:w="624" w:type="dxa"/>
          </w:tcPr>
          <w:p w14:paraId="6E27A05B" w14:textId="77777777" w:rsidR="009F5BDC" w:rsidRDefault="009F5BDC">
            <w:pPr>
              <w:pStyle w:val="TableText"/>
            </w:pPr>
          </w:p>
        </w:tc>
        <w:tc>
          <w:tcPr>
            <w:tcW w:w="624" w:type="dxa"/>
          </w:tcPr>
          <w:p w14:paraId="013FA5BE" w14:textId="77777777" w:rsidR="009F5BDC" w:rsidRDefault="009F5BDC">
            <w:pPr>
              <w:pStyle w:val="TableText"/>
              <w:rPr>
                <w:rtl/>
              </w:rPr>
            </w:pPr>
          </w:p>
        </w:tc>
        <w:tc>
          <w:tcPr>
            <w:tcW w:w="5898" w:type="dxa"/>
            <w:gridSpan w:val="4"/>
          </w:tcPr>
          <w:p w14:paraId="01C6260C" w14:textId="4856D22F" w:rsidR="009F5BDC" w:rsidRPr="00EE0B04" w:rsidRDefault="009F5BDC">
            <w:pPr>
              <w:pStyle w:val="TableBlock"/>
              <w:rPr>
                <w:rtl/>
              </w:rPr>
            </w:pPr>
            <w:r w:rsidRPr="00EE0B04">
              <w:rPr>
                <w:rFonts w:hint="cs"/>
                <w:rtl/>
              </w:rPr>
              <w:t xml:space="preserve">"מועצה מקומית" </w:t>
            </w:r>
            <w:r w:rsidRPr="00EE0B04">
              <w:rPr>
                <w:rtl/>
              </w:rPr>
              <w:t>–</w:t>
            </w:r>
            <w:r w:rsidRPr="00EE0B04">
              <w:rPr>
                <w:rFonts w:hint="cs"/>
                <w:rtl/>
              </w:rPr>
              <w:t xml:space="preserve"> כל אחת מאלה:</w:t>
            </w:r>
          </w:p>
        </w:tc>
      </w:tr>
      <w:tr w:rsidR="009F5BDC" w14:paraId="591CBF97" w14:textId="77777777">
        <w:trPr>
          <w:cantSplit/>
          <w:trHeight w:val="60"/>
        </w:trPr>
        <w:tc>
          <w:tcPr>
            <w:tcW w:w="1871" w:type="dxa"/>
          </w:tcPr>
          <w:p w14:paraId="7CD826F0" w14:textId="77777777" w:rsidR="009F5BDC" w:rsidRDefault="009F5BDC">
            <w:pPr>
              <w:pStyle w:val="TableSideHeading"/>
            </w:pPr>
          </w:p>
        </w:tc>
        <w:tc>
          <w:tcPr>
            <w:tcW w:w="624" w:type="dxa"/>
          </w:tcPr>
          <w:p w14:paraId="0B5ACA7D" w14:textId="77777777" w:rsidR="009F5BDC" w:rsidRDefault="009F5BDC">
            <w:pPr>
              <w:pStyle w:val="TableText"/>
            </w:pPr>
          </w:p>
        </w:tc>
        <w:tc>
          <w:tcPr>
            <w:tcW w:w="624" w:type="dxa"/>
          </w:tcPr>
          <w:p w14:paraId="3516D648" w14:textId="77777777" w:rsidR="009F5BDC" w:rsidRDefault="009F5BDC">
            <w:pPr>
              <w:pStyle w:val="TableText"/>
            </w:pPr>
          </w:p>
        </w:tc>
        <w:tc>
          <w:tcPr>
            <w:tcW w:w="624" w:type="dxa"/>
          </w:tcPr>
          <w:p w14:paraId="48275CD3" w14:textId="77777777" w:rsidR="009F5BDC" w:rsidRDefault="009F5BDC">
            <w:pPr>
              <w:pStyle w:val="TableText"/>
            </w:pPr>
          </w:p>
        </w:tc>
        <w:tc>
          <w:tcPr>
            <w:tcW w:w="624" w:type="dxa"/>
          </w:tcPr>
          <w:p w14:paraId="2920EE3C" w14:textId="77777777" w:rsidR="009F5BDC" w:rsidRDefault="009F5BDC">
            <w:pPr>
              <w:pStyle w:val="TableText"/>
            </w:pPr>
          </w:p>
        </w:tc>
        <w:tc>
          <w:tcPr>
            <w:tcW w:w="5274" w:type="dxa"/>
            <w:gridSpan w:val="3"/>
          </w:tcPr>
          <w:p w14:paraId="6F6036A1" w14:textId="6938B49D" w:rsidR="009F5BDC" w:rsidRDefault="009F5BDC" w:rsidP="00C57EB2">
            <w:pPr>
              <w:pStyle w:val="TableBlock"/>
              <w:numPr>
                <w:ilvl w:val="0"/>
                <w:numId w:val="22"/>
              </w:numPr>
              <w:tabs>
                <w:tab w:val="left" w:pos="624"/>
              </w:tabs>
            </w:pPr>
            <w:r w:rsidRPr="00EE0B04">
              <w:rPr>
                <w:rtl/>
              </w:rPr>
              <w:t>מועצה אזורית שלא חל לגביה צו לפי סעיף 151 לחוק תאגידי מים וביוב, ובכלל זה חברה המצויה בבעלות מלאה של מועצה אזורית כאמור;</w:t>
            </w:r>
          </w:p>
        </w:tc>
      </w:tr>
      <w:tr w:rsidR="009F5BDC" w14:paraId="435F8B3D" w14:textId="77777777">
        <w:trPr>
          <w:cantSplit/>
          <w:trHeight w:val="60"/>
        </w:trPr>
        <w:tc>
          <w:tcPr>
            <w:tcW w:w="1871" w:type="dxa"/>
          </w:tcPr>
          <w:p w14:paraId="79D89D26" w14:textId="77777777" w:rsidR="009F5BDC" w:rsidRDefault="009F5BDC">
            <w:pPr>
              <w:pStyle w:val="TableSideHeading"/>
            </w:pPr>
          </w:p>
        </w:tc>
        <w:tc>
          <w:tcPr>
            <w:tcW w:w="624" w:type="dxa"/>
          </w:tcPr>
          <w:p w14:paraId="0611A954" w14:textId="77777777" w:rsidR="009F5BDC" w:rsidRDefault="009F5BDC" w:rsidP="009F5BDC">
            <w:pPr>
              <w:pStyle w:val="TableText"/>
            </w:pPr>
          </w:p>
        </w:tc>
        <w:tc>
          <w:tcPr>
            <w:tcW w:w="624" w:type="dxa"/>
          </w:tcPr>
          <w:p w14:paraId="6E99ABFE" w14:textId="77777777" w:rsidR="009F5BDC" w:rsidRDefault="009F5BDC">
            <w:pPr>
              <w:pStyle w:val="TableText"/>
            </w:pPr>
          </w:p>
        </w:tc>
        <w:tc>
          <w:tcPr>
            <w:tcW w:w="624" w:type="dxa"/>
          </w:tcPr>
          <w:p w14:paraId="18681D1F" w14:textId="77777777" w:rsidR="009F5BDC" w:rsidRDefault="009F5BDC">
            <w:pPr>
              <w:pStyle w:val="TableText"/>
            </w:pPr>
          </w:p>
        </w:tc>
        <w:tc>
          <w:tcPr>
            <w:tcW w:w="624" w:type="dxa"/>
          </w:tcPr>
          <w:p w14:paraId="6D31ECD3" w14:textId="77777777" w:rsidR="009F5BDC" w:rsidRDefault="009F5BDC">
            <w:pPr>
              <w:pStyle w:val="TableText"/>
            </w:pPr>
          </w:p>
        </w:tc>
        <w:tc>
          <w:tcPr>
            <w:tcW w:w="5274" w:type="dxa"/>
            <w:gridSpan w:val="3"/>
          </w:tcPr>
          <w:p w14:paraId="2F574E31" w14:textId="637E0B89" w:rsidR="009F5BDC" w:rsidRPr="00EE0B04" w:rsidRDefault="009F5BDC" w:rsidP="00C57EB2">
            <w:pPr>
              <w:pStyle w:val="TableBlock"/>
              <w:numPr>
                <w:ilvl w:val="0"/>
                <w:numId w:val="22"/>
              </w:numPr>
              <w:tabs>
                <w:tab w:val="left" w:pos="624"/>
              </w:tabs>
              <w:rPr>
                <w:rtl/>
              </w:rPr>
            </w:pPr>
            <w:r w:rsidRPr="00EE0B04">
              <w:rPr>
                <w:rtl/>
              </w:rPr>
              <w:t>מועצה מקומית תעשייתית כמשמעותה בסעיף 2א לפקודת המועצות המקומיות [נוסח חדש];</w:t>
            </w:r>
          </w:p>
        </w:tc>
      </w:tr>
      <w:tr w:rsidR="009F5BDC" w14:paraId="7D401F18" w14:textId="77777777">
        <w:trPr>
          <w:cantSplit/>
          <w:trHeight w:val="60"/>
        </w:trPr>
        <w:tc>
          <w:tcPr>
            <w:tcW w:w="1871" w:type="dxa"/>
          </w:tcPr>
          <w:p w14:paraId="1A748ED4" w14:textId="77777777" w:rsidR="009F5BDC" w:rsidRDefault="009F5BDC">
            <w:pPr>
              <w:pStyle w:val="TableSideHeading"/>
            </w:pPr>
          </w:p>
        </w:tc>
        <w:tc>
          <w:tcPr>
            <w:tcW w:w="624" w:type="dxa"/>
          </w:tcPr>
          <w:p w14:paraId="049815EA" w14:textId="77777777" w:rsidR="009F5BDC" w:rsidRDefault="009F5BDC">
            <w:pPr>
              <w:pStyle w:val="TableText"/>
            </w:pPr>
          </w:p>
        </w:tc>
        <w:tc>
          <w:tcPr>
            <w:tcW w:w="624" w:type="dxa"/>
          </w:tcPr>
          <w:p w14:paraId="598D5CA4" w14:textId="77777777" w:rsidR="009F5BDC" w:rsidRDefault="009F5BDC">
            <w:pPr>
              <w:pStyle w:val="TableText"/>
            </w:pPr>
          </w:p>
        </w:tc>
        <w:tc>
          <w:tcPr>
            <w:tcW w:w="624" w:type="dxa"/>
          </w:tcPr>
          <w:p w14:paraId="1F27E6FB" w14:textId="77777777" w:rsidR="009F5BDC" w:rsidRDefault="009F5BDC">
            <w:pPr>
              <w:pStyle w:val="TableText"/>
            </w:pPr>
          </w:p>
        </w:tc>
        <w:tc>
          <w:tcPr>
            <w:tcW w:w="5898" w:type="dxa"/>
            <w:gridSpan w:val="4"/>
          </w:tcPr>
          <w:p w14:paraId="58D4F822" w14:textId="1AF4FF01" w:rsidR="009F5BDC" w:rsidRDefault="009F5BDC">
            <w:pPr>
              <w:pStyle w:val="TableBlock"/>
            </w:pPr>
            <w:r w:rsidRPr="00EE0B04">
              <w:rPr>
                <w:rFonts w:hint="cs"/>
                <w:rtl/>
              </w:rPr>
              <w:t xml:space="preserve">"תאגיד מים וביוב"- </w:t>
            </w:r>
            <w:r w:rsidRPr="00EE0B04">
              <w:rPr>
                <w:rFonts w:ascii="David" w:hAnsi="David"/>
                <w:sz w:val="26"/>
                <w:rtl/>
              </w:rPr>
              <w:t>חברה כמשמעותה בחוק תאגידי מים וביוב, וכל עוד החברה היא בשליטת רשות מקומית</w:t>
            </w:r>
            <w:r w:rsidRPr="00EE0B04">
              <w:rPr>
                <w:rFonts w:ascii="David" w:hAnsi="David" w:hint="cs"/>
                <w:sz w:val="26"/>
                <w:rtl/>
              </w:rPr>
              <w:t>;</w:t>
            </w:r>
          </w:p>
        </w:tc>
      </w:tr>
      <w:tr w:rsidR="009F5BDC" w14:paraId="0CBE71C4" w14:textId="77777777">
        <w:trPr>
          <w:cantSplit/>
          <w:trHeight w:val="60"/>
        </w:trPr>
        <w:tc>
          <w:tcPr>
            <w:tcW w:w="1871" w:type="dxa"/>
          </w:tcPr>
          <w:p w14:paraId="3D887551" w14:textId="77777777" w:rsidR="009F5BDC" w:rsidRDefault="009F5BDC">
            <w:pPr>
              <w:pStyle w:val="TableSideHeading"/>
            </w:pPr>
          </w:p>
        </w:tc>
        <w:tc>
          <w:tcPr>
            <w:tcW w:w="624" w:type="dxa"/>
          </w:tcPr>
          <w:p w14:paraId="370980D0" w14:textId="77777777" w:rsidR="009F5BDC" w:rsidRDefault="009F5BDC" w:rsidP="009F5BDC">
            <w:pPr>
              <w:pStyle w:val="TableText"/>
            </w:pPr>
          </w:p>
        </w:tc>
        <w:tc>
          <w:tcPr>
            <w:tcW w:w="624" w:type="dxa"/>
          </w:tcPr>
          <w:p w14:paraId="029F83FB" w14:textId="77777777" w:rsidR="009F5BDC" w:rsidRDefault="009F5BDC">
            <w:pPr>
              <w:pStyle w:val="TableText"/>
            </w:pPr>
          </w:p>
        </w:tc>
        <w:tc>
          <w:tcPr>
            <w:tcW w:w="624" w:type="dxa"/>
          </w:tcPr>
          <w:p w14:paraId="3C96F48C" w14:textId="5AD9546C" w:rsidR="009F5BDC" w:rsidRDefault="00F830DC" w:rsidP="00F830DC">
            <w:pPr>
              <w:pStyle w:val="TableText"/>
            </w:pPr>
            <w:r>
              <w:rPr>
                <w:rFonts w:hint="cs"/>
                <w:rtl/>
              </w:rPr>
              <w:t>17.</w:t>
            </w:r>
          </w:p>
        </w:tc>
        <w:tc>
          <w:tcPr>
            <w:tcW w:w="5898" w:type="dxa"/>
            <w:gridSpan w:val="4"/>
          </w:tcPr>
          <w:p w14:paraId="063079D4" w14:textId="4077A06B" w:rsidR="009F5BDC" w:rsidRPr="00EE0B04" w:rsidRDefault="009F5BDC">
            <w:pPr>
              <w:pStyle w:val="TableBlock"/>
              <w:rPr>
                <w:rtl/>
              </w:rPr>
            </w:pPr>
            <w:r w:rsidRPr="00EE0B04">
              <w:rPr>
                <w:rFonts w:ascii="David" w:hAnsi="David"/>
                <w:sz w:val="26"/>
                <w:rtl/>
              </w:rPr>
              <w:t>תביעה נגד קופת חולים</w:t>
            </w:r>
            <w:r w:rsidRPr="00EE0B04">
              <w:rPr>
                <w:rFonts w:ascii="David" w:hAnsi="David" w:hint="cs"/>
                <w:sz w:val="26"/>
                <w:rtl/>
              </w:rPr>
              <w:t xml:space="preserve"> </w:t>
            </w:r>
            <w:r w:rsidRPr="00EE0B04">
              <w:rPr>
                <w:rtl/>
              </w:rPr>
              <w:t>כ</w:t>
            </w:r>
            <w:r w:rsidRPr="00EE0B04">
              <w:rPr>
                <w:rFonts w:hint="cs"/>
                <w:rtl/>
              </w:rPr>
              <w:t>הגדרתה</w:t>
            </w:r>
            <w:r w:rsidRPr="00EE0B04">
              <w:rPr>
                <w:rtl/>
              </w:rPr>
              <w:t xml:space="preserve"> בחוק ביטוח בריאות ממלכתי, </w:t>
            </w:r>
            <w:r w:rsidRPr="00EE0B04">
              <w:rPr>
                <w:rFonts w:hint="cs"/>
                <w:rtl/>
              </w:rPr>
              <w:t>ה</w:t>
            </w:r>
            <w:r w:rsidRPr="00EE0B04">
              <w:rPr>
                <w:rtl/>
              </w:rPr>
              <w:t>תשנ"ד-1994</w:t>
            </w:r>
            <w:r>
              <w:rPr>
                <w:rStyle w:val="a7"/>
                <w:rFonts w:ascii="David" w:hAnsi="David"/>
                <w:sz w:val="26"/>
                <w:rtl/>
              </w:rPr>
              <w:footnoteReference w:id="15"/>
            </w:r>
            <w:r w:rsidRPr="00EE0B04">
              <w:rPr>
                <w:rFonts w:ascii="David" w:hAnsi="David"/>
                <w:sz w:val="26"/>
                <w:rtl/>
              </w:rPr>
              <w:t xml:space="preserve">, </w:t>
            </w:r>
            <w:r w:rsidRPr="00EE0B04">
              <w:rPr>
                <w:rFonts w:ascii="David" w:hAnsi="David" w:hint="eastAsia"/>
                <w:sz w:val="26"/>
                <w:rtl/>
              </w:rPr>
              <w:t>להשבת</w:t>
            </w:r>
            <w:r w:rsidRPr="00EE0B04">
              <w:rPr>
                <w:rFonts w:ascii="David" w:hAnsi="David"/>
                <w:sz w:val="26"/>
                <w:rtl/>
              </w:rPr>
              <w:t xml:space="preserve"> </w:t>
            </w:r>
            <w:r w:rsidRPr="00EE0B04">
              <w:rPr>
                <w:rFonts w:ascii="David" w:hAnsi="David" w:hint="eastAsia"/>
                <w:sz w:val="26"/>
                <w:rtl/>
              </w:rPr>
              <w:t>סכומים</w:t>
            </w:r>
            <w:r w:rsidRPr="00EE0B04">
              <w:rPr>
                <w:rFonts w:ascii="David" w:hAnsi="David"/>
                <w:sz w:val="26"/>
                <w:rtl/>
              </w:rPr>
              <w:t xml:space="preserve"> </w:t>
            </w:r>
            <w:r w:rsidRPr="00EE0B04">
              <w:rPr>
                <w:rFonts w:ascii="David" w:hAnsi="David" w:hint="eastAsia"/>
                <w:sz w:val="26"/>
                <w:rtl/>
              </w:rPr>
              <w:t>שגבתה</w:t>
            </w:r>
            <w:r w:rsidRPr="00EE0B04">
              <w:rPr>
                <w:rFonts w:ascii="David" w:hAnsi="David"/>
                <w:sz w:val="26"/>
                <w:rtl/>
              </w:rPr>
              <w:t xml:space="preserve"> </w:t>
            </w:r>
            <w:r w:rsidRPr="00EE0B04">
              <w:rPr>
                <w:rFonts w:ascii="David" w:hAnsi="David" w:hint="eastAsia"/>
                <w:sz w:val="26"/>
                <w:rtl/>
              </w:rPr>
              <w:t>שלא</w:t>
            </w:r>
            <w:r w:rsidRPr="00EE0B04">
              <w:rPr>
                <w:rFonts w:ascii="David" w:hAnsi="David"/>
                <w:sz w:val="26"/>
                <w:rtl/>
              </w:rPr>
              <w:t xml:space="preserve"> </w:t>
            </w:r>
            <w:r w:rsidRPr="00EE0B04">
              <w:rPr>
                <w:rFonts w:ascii="David" w:hAnsi="David" w:hint="eastAsia"/>
                <w:sz w:val="26"/>
                <w:rtl/>
              </w:rPr>
              <w:t>כדין</w:t>
            </w:r>
            <w:r w:rsidRPr="00EE0B04">
              <w:rPr>
                <w:rFonts w:ascii="David" w:hAnsi="David"/>
                <w:sz w:val="26"/>
                <w:rtl/>
              </w:rPr>
              <w:t xml:space="preserve"> </w:t>
            </w:r>
            <w:r w:rsidRPr="00EE0B04">
              <w:rPr>
                <w:rFonts w:ascii="David" w:hAnsi="David" w:hint="eastAsia"/>
                <w:sz w:val="26"/>
                <w:rtl/>
              </w:rPr>
              <w:t>במסגרת</w:t>
            </w:r>
            <w:r w:rsidRPr="00EE0B04">
              <w:rPr>
                <w:rFonts w:ascii="David" w:hAnsi="David"/>
                <w:sz w:val="26"/>
                <w:rtl/>
              </w:rPr>
              <w:t xml:space="preserve"> </w:t>
            </w:r>
            <w:r w:rsidRPr="00EE0B04">
              <w:rPr>
                <w:rFonts w:ascii="David" w:hAnsi="David" w:hint="eastAsia"/>
                <w:sz w:val="26"/>
                <w:rtl/>
              </w:rPr>
              <w:t>פעילותה</w:t>
            </w:r>
            <w:r w:rsidRPr="00EE0B04">
              <w:rPr>
                <w:rFonts w:ascii="David" w:hAnsi="David"/>
                <w:sz w:val="26"/>
                <w:rtl/>
              </w:rPr>
              <w:t xml:space="preserve"> </w:t>
            </w:r>
            <w:r w:rsidRPr="00EE0B04">
              <w:rPr>
                <w:rFonts w:ascii="David" w:hAnsi="David" w:hint="eastAsia"/>
                <w:sz w:val="26"/>
                <w:rtl/>
              </w:rPr>
              <w:t>לפי</w:t>
            </w:r>
            <w:r w:rsidRPr="00EE0B04">
              <w:rPr>
                <w:rFonts w:ascii="David" w:hAnsi="David"/>
                <w:sz w:val="26"/>
                <w:rtl/>
              </w:rPr>
              <w:t xml:space="preserve"> </w:t>
            </w:r>
            <w:r w:rsidRPr="00EE0B04">
              <w:rPr>
                <w:rFonts w:ascii="David" w:hAnsi="David" w:hint="eastAsia"/>
                <w:sz w:val="26"/>
                <w:rtl/>
              </w:rPr>
              <w:t>סעיפים</w:t>
            </w:r>
            <w:r w:rsidRPr="00EE0B04">
              <w:rPr>
                <w:rFonts w:ascii="David" w:hAnsi="David"/>
                <w:sz w:val="26"/>
                <w:rtl/>
              </w:rPr>
              <w:t xml:space="preserve"> 7, 7א, או 8 </w:t>
            </w:r>
            <w:r w:rsidRPr="00EE0B04">
              <w:rPr>
                <w:rFonts w:ascii="David" w:hAnsi="David" w:hint="eastAsia"/>
                <w:sz w:val="26"/>
                <w:rtl/>
              </w:rPr>
              <w:t>ל</w:t>
            </w:r>
            <w:r w:rsidRPr="00EE0B04">
              <w:rPr>
                <w:rFonts w:ascii="David" w:hAnsi="David"/>
                <w:sz w:val="26"/>
                <w:rtl/>
              </w:rPr>
              <w:t xml:space="preserve">חוק ביטוח בריאות ממלכתי, </w:t>
            </w:r>
            <w:r w:rsidRPr="00EE0B04">
              <w:rPr>
                <w:rFonts w:ascii="David" w:hAnsi="David" w:hint="eastAsia"/>
                <w:sz w:val="26"/>
                <w:rtl/>
              </w:rPr>
              <w:t>ה</w:t>
            </w:r>
            <w:r w:rsidRPr="00EE0B04">
              <w:rPr>
                <w:rFonts w:ascii="David" w:hAnsi="David"/>
                <w:sz w:val="26"/>
                <w:rtl/>
              </w:rPr>
              <w:t>תשנ"ד-1994; תביעה כאמור תוגש לפי פרט זה בלבד.</w:t>
            </w:r>
          </w:p>
        </w:tc>
      </w:tr>
      <w:tr w:rsidR="00AF7775" w14:paraId="60B5F170" w14:textId="77777777">
        <w:trPr>
          <w:cantSplit/>
          <w:trHeight w:val="60"/>
        </w:trPr>
        <w:tc>
          <w:tcPr>
            <w:tcW w:w="1871" w:type="dxa"/>
          </w:tcPr>
          <w:p w14:paraId="45789D96" w14:textId="77777777" w:rsidR="00AF7775" w:rsidRDefault="00AF7775">
            <w:pPr>
              <w:pStyle w:val="TableSideHeading"/>
            </w:pPr>
          </w:p>
        </w:tc>
        <w:tc>
          <w:tcPr>
            <w:tcW w:w="624" w:type="dxa"/>
          </w:tcPr>
          <w:p w14:paraId="3F425DA2" w14:textId="77777777" w:rsidR="00AF7775" w:rsidRDefault="00AF7775" w:rsidP="00AF7775">
            <w:pPr>
              <w:pStyle w:val="TableText"/>
            </w:pPr>
          </w:p>
        </w:tc>
        <w:tc>
          <w:tcPr>
            <w:tcW w:w="624" w:type="dxa"/>
          </w:tcPr>
          <w:p w14:paraId="700ED708" w14:textId="77777777" w:rsidR="00AF7775" w:rsidRDefault="00AF7775">
            <w:pPr>
              <w:pStyle w:val="TableText"/>
            </w:pPr>
          </w:p>
        </w:tc>
        <w:tc>
          <w:tcPr>
            <w:tcW w:w="624" w:type="dxa"/>
          </w:tcPr>
          <w:p w14:paraId="045C3D2E" w14:textId="7F8E9B70" w:rsidR="00AF7775" w:rsidRDefault="00AF7775" w:rsidP="00F830DC">
            <w:pPr>
              <w:pStyle w:val="TableText"/>
              <w:rPr>
                <w:rtl/>
              </w:rPr>
            </w:pPr>
            <w:r>
              <w:rPr>
                <w:rFonts w:hint="cs"/>
                <w:rtl/>
              </w:rPr>
              <w:t>18.</w:t>
            </w:r>
          </w:p>
        </w:tc>
        <w:tc>
          <w:tcPr>
            <w:tcW w:w="5898" w:type="dxa"/>
            <w:gridSpan w:val="4"/>
          </w:tcPr>
          <w:p w14:paraId="61A3B725" w14:textId="4A86A753" w:rsidR="00AF7775" w:rsidRPr="00201838" w:rsidRDefault="00AF7775">
            <w:pPr>
              <w:pStyle w:val="TableBlock"/>
              <w:rPr>
                <w:rFonts w:ascii="David" w:hAnsi="David"/>
                <w:sz w:val="26"/>
                <w:rtl/>
              </w:rPr>
            </w:pPr>
            <w:r w:rsidRPr="00201838">
              <w:rPr>
                <w:rFonts w:ascii="David" w:hAnsi="David"/>
                <w:sz w:val="26"/>
                <w:rtl/>
              </w:rPr>
              <w:t>תביעה בעילה של פגיעה בפרטיות לפי פסקאות 1, 2, 3, 5-</w:t>
            </w:r>
            <w:r w:rsidR="00A666C4">
              <w:rPr>
                <w:rFonts w:ascii="David" w:hAnsi="David" w:hint="cs"/>
                <w:sz w:val="26"/>
                <w:rtl/>
              </w:rPr>
              <w:t>9</w:t>
            </w:r>
            <w:r w:rsidRPr="00201838">
              <w:rPr>
                <w:rFonts w:ascii="David" w:hAnsi="David"/>
                <w:sz w:val="26"/>
                <w:rtl/>
              </w:rPr>
              <w:t xml:space="preserve"> או 11 בסעיף 2 או בעילה של</w:t>
            </w:r>
            <w:r w:rsidR="00A666C4">
              <w:rPr>
                <w:rFonts w:ascii="David" w:hAnsi="David" w:hint="cs"/>
                <w:sz w:val="26"/>
                <w:rtl/>
              </w:rPr>
              <w:t xml:space="preserve"> ניהול או החזקה של מאגר מידע החייב ברישום בניגוד לסעיף 10(ב2) או בניגוד להחלטה לפי סעיף 10(ו) או הפרת סעיפים 8(ב) ו-11</w:t>
            </w:r>
            <w:r w:rsidRPr="00201838">
              <w:rPr>
                <w:rFonts w:ascii="David" w:hAnsi="David"/>
                <w:sz w:val="26"/>
                <w:rtl/>
              </w:rPr>
              <w:t xml:space="preserve"> לחוק הגנת הפרטיות וכן תביעה בעילה של הפרת הוראה מהוראות תקנות הגנת הפרטיות (אבטחת מידע)</w:t>
            </w:r>
            <w:r w:rsidR="00A028B0" w:rsidRPr="00201838">
              <w:rPr>
                <w:rFonts w:ascii="David" w:hAnsi="David" w:hint="cs"/>
                <w:sz w:val="26"/>
                <w:rtl/>
              </w:rPr>
              <w:t xml:space="preserve"> </w:t>
            </w:r>
            <w:r w:rsidRPr="00201838">
              <w:rPr>
                <w:rFonts w:ascii="David" w:hAnsi="David"/>
                <w:sz w:val="26"/>
                <w:rtl/>
              </w:rPr>
              <w:t>שגרמה לאירוע אבטחה חמור, כהגדרתו בתקנות</w:t>
            </w:r>
            <w:r w:rsidR="0001479B">
              <w:rPr>
                <w:rFonts w:ascii="David" w:hAnsi="David" w:hint="cs"/>
                <w:sz w:val="26"/>
                <w:rtl/>
              </w:rPr>
              <w:t xml:space="preserve"> אלו</w:t>
            </w:r>
            <w:r w:rsidRPr="00201838">
              <w:rPr>
                <w:rFonts w:ascii="David" w:hAnsi="David"/>
                <w:sz w:val="26"/>
                <w:rtl/>
              </w:rPr>
              <w:t>, ביחס לחלק מהותי מהמאגר או ביחס ל</w:t>
            </w:r>
            <w:r w:rsidR="00A666C4">
              <w:rPr>
                <w:rFonts w:ascii="David" w:hAnsi="David" w:hint="cs"/>
                <w:sz w:val="26"/>
                <w:rtl/>
              </w:rPr>
              <w:t>מידע על אודות למעלה מ-</w:t>
            </w:r>
            <w:r w:rsidRPr="00201838">
              <w:rPr>
                <w:rFonts w:ascii="David" w:hAnsi="David"/>
                <w:sz w:val="26"/>
                <w:rtl/>
              </w:rPr>
              <w:t xml:space="preserve"> 1</w:t>
            </w:r>
            <w:r w:rsidR="00A666C4">
              <w:rPr>
                <w:rFonts w:ascii="David" w:hAnsi="David" w:hint="cs"/>
                <w:sz w:val="26"/>
                <w:rtl/>
              </w:rPr>
              <w:t>,</w:t>
            </w:r>
            <w:r w:rsidRPr="00201838">
              <w:rPr>
                <w:rFonts w:ascii="David" w:hAnsi="David"/>
                <w:sz w:val="26"/>
                <w:rtl/>
              </w:rPr>
              <w:t xml:space="preserve">000 </w:t>
            </w:r>
            <w:r w:rsidR="00A666C4">
              <w:rPr>
                <w:rFonts w:ascii="David" w:hAnsi="David" w:hint="cs"/>
                <w:sz w:val="26"/>
                <w:rtl/>
              </w:rPr>
              <w:t>נושאי</w:t>
            </w:r>
            <w:r w:rsidRPr="00201838">
              <w:rPr>
                <w:rFonts w:ascii="David" w:hAnsi="David"/>
                <w:sz w:val="26"/>
                <w:rtl/>
              </w:rPr>
              <w:t xml:space="preserve"> מידע, לפי </w:t>
            </w:r>
            <w:r w:rsidR="003C7A7A">
              <w:rPr>
                <w:rFonts w:ascii="David" w:hAnsi="David" w:hint="cs"/>
                <w:sz w:val="26"/>
                <w:rtl/>
              </w:rPr>
              <w:t>הנמוך</w:t>
            </w:r>
            <w:r w:rsidRPr="00201838">
              <w:rPr>
                <w:rFonts w:ascii="David" w:hAnsi="David"/>
                <w:sz w:val="26"/>
                <w:rtl/>
              </w:rPr>
              <w:t xml:space="preserve"> </w:t>
            </w:r>
            <w:proofErr w:type="spellStart"/>
            <w:r w:rsidRPr="00201838">
              <w:rPr>
                <w:rFonts w:ascii="David" w:hAnsi="David"/>
                <w:sz w:val="26"/>
                <w:rtl/>
              </w:rPr>
              <w:t>מב</w:t>
            </w:r>
            <w:r w:rsidR="003C7A7A">
              <w:rPr>
                <w:rFonts w:ascii="David" w:hAnsi="David" w:hint="cs"/>
                <w:sz w:val="26"/>
                <w:rtl/>
              </w:rPr>
              <w:t>י</w:t>
            </w:r>
            <w:r w:rsidRPr="00201838">
              <w:rPr>
                <w:rFonts w:ascii="David" w:hAnsi="David"/>
                <w:sz w:val="26"/>
                <w:rtl/>
              </w:rPr>
              <w:t>ניהם</w:t>
            </w:r>
            <w:proofErr w:type="spellEnd"/>
            <w:r w:rsidRPr="00201838">
              <w:rPr>
                <w:rFonts w:ascii="David" w:hAnsi="David" w:hint="cs"/>
                <w:sz w:val="26"/>
                <w:rtl/>
              </w:rPr>
              <w:t>.</w:t>
            </w:r>
            <w:r w:rsidR="0078657C">
              <w:rPr>
                <w:rFonts w:ascii="David" w:hAnsi="David" w:hint="cs"/>
                <w:sz w:val="26"/>
                <w:rtl/>
              </w:rPr>
              <w:t>".</w:t>
            </w:r>
          </w:p>
        </w:tc>
      </w:tr>
      <w:tr w:rsidR="00F830DC" w14:paraId="4DC2124A" w14:textId="77777777">
        <w:trPr>
          <w:cantSplit/>
          <w:trHeight w:val="60"/>
        </w:trPr>
        <w:tc>
          <w:tcPr>
            <w:tcW w:w="1871" w:type="dxa"/>
          </w:tcPr>
          <w:p w14:paraId="240DE608" w14:textId="57B5FA5E" w:rsidR="00F830DC" w:rsidRDefault="00F830DC" w:rsidP="007E751D">
            <w:pPr>
              <w:pStyle w:val="TableSideHeading"/>
              <w:keepLines w:val="0"/>
            </w:pPr>
            <w:r>
              <w:rPr>
                <w:rFonts w:hint="cs"/>
                <w:rtl/>
              </w:rPr>
              <w:t>הוספת תוספת רביעית</w:t>
            </w:r>
            <w:r w:rsidR="00C655D1">
              <w:rPr>
                <w:rFonts w:hint="cs"/>
                <w:rtl/>
              </w:rPr>
              <w:t xml:space="preserve"> וחמישית</w:t>
            </w:r>
          </w:p>
        </w:tc>
        <w:tc>
          <w:tcPr>
            <w:tcW w:w="624" w:type="dxa"/>
          </w:tcPr>
          <w:p w14:paraId="443E756E" w14:textId="77777777" w:rsidR="00F830DC" w:rsidRDefault="00F830DC" w:rsidP="00461E2C">
            <w:pPr>
              <w:pStyle w:val="TableText"/>
              <w:keepLines w:val="0"/>
              <w:numPr>
                <w:ilvl w:val="0"/>
                <w:numId w:val="2"/>
              </w:numPr>
            </w:pPr>
          </w:p>
        </w:tc>
        <w:tc>
          <w:tcPr>
            <w:tcW w:w="7146" w:type="dxa"/>
            <w:gridSpan w:val="6"/>
          </w:tcPr>
          <w:p w14:paraId="2B2BE377" w14:textId="7554ACF9" w:rsidR="00F830DC" w:rsidRPr="00C34DE2" w:rsidRDefault="00F830DC" w:rsidP="007E751D">
            <w:pPr>
              <w:pStyle w:val="TableBlock"/>
              <w:keepLines w:val="0"/>
            </w:pPr>
            <w:r>
              <w:rPr>
                <w:rFonts w:hint="cs"/>
                <w:rtl/>
              </w:rPr>
              <w:t>אחרי התוספת השלישית לחוק יבוא:</w:t>
            </w:r>
          </w:p>
        </w:tc>
      </w:tr>
      <w:tr w:rsidR="003B1044" w14:paraId="78CD81EF" w14:textId="77777777">
        <w:trPr>
          <w:cantSplit/>
          <w:trHeight w:val="60"/>
        </w:trPr>
        <w:tc>
          <w:tcPr>
            <w:tcW w:w="1871" w:type="dxa"/>
          </w:tcPr>
          <w:p w14:paraId="28745A09" w14:textId="77777777" w:rsidR="003B1044" w:rsidRDefault="003B1044" w:rsidP="007E751D">
            <w:pPr>
              <w:pStyle w:val="TableSideHeading"/>
              <w:keepLines w:val="0"/>
              <w:rPr>
                <w:rtl/>
              </w:rPr>
            </w:pPr>
          </w:p>
        </w:tc>
        <w:tc>
          <w:tcPr>
            <w:tcW w:w="624" w:type="dxa"/>
          </w:tcPr>
          <w:p w14:paraId="12AED8D3" w14:textId="77777777" w:rsidR="003B1044" w:rsidRDefault="003B1044" w:rsidP="003B1044">
            <w:pPr>
              <w:pStyle w:val="TableText"/>
            </w:pPr>
          </w:p>
        </w:tc>
        <w:tc>
          <w:tcPr>
            <w:tcW w:w="7146" w:type="dxa"/>
            <w:gridSpan w:val="6"/>
          </w:tcPr>
          <w:p w14:paraId="58C0D58E" w14:textId="16777C86" w:rsidR="003B1044" w:rsidRPr="003B1044" w:rsidRDefault="003B1044" w:rsidP="003B1044">
            <w:pPr>
              <w:pStyle w:val="TableBlock"/>
              <w:keepLines w:val="0"/>
              <w:jc w:val="center"/>
              <w:rPr>
                <w:b/>
                <w:bCs/>
                <w:rtl/>
              </w:rPr>
            </w:pPr>
            <w:r>
              <w:rPr>
                <w:rFonts w:hint="cs"/>
                <w:b/>
                <w:bCs/>
                <w:rtl/>
              </w:rPr>
              <w:t>"תוספת רביעית</w:t>
            </w:r>
          </w:p>
        </w:tc>
      </w:tr>
      <w:tr w:rsidR="003B1044" w14:paraId="7D76C956" w14:textId="77777777">
        <w:trPr>
          <w:cantSplit/>
          <w:trHeight w:val="60"/>
        </w:trPr>
        <w:tc>
          <w:tcPr>
            <w:tcW w:w="1871" w:type="dxa"/>
          </w:tcPr>
          <w:p w14:paraId="14C479A3" w14:textId="77777777" w:rsidR="003B1044" w:rsidRDefault="003B1044" w:rsidP="007E751D">
            <w:pPr>
              <w:pStyle w:val="TableSideHeading"/>
              <w:keepLines w:val="0"/>
              <w:rPr>
                <w:rtl/>
              </w:rPr>
            </w:pPr>
          </w:p>
        </w:tc>
        <w:tc>
          <w:tcPr>
            <w:tcW w:w="624" w:type="dxa"/>
          </w:tcPr>
          <w:p w14:paraId="507B204B" w14:textId="77777777" w:rsidR="003B1044" w:rsidRDefault="003B1044" w:rsidP="003B1044">
            <w:pPr>
              <w:pStyle w:val="TableText"/>
            </w:pPr>
          </w:p>
        </w:tc>
        <w:tc>
          <w:tcPr>
            <w:tcW w:w="7146" w:type="dxa"/>
            <w:gridSpan w:val="6"/>
          </w:tcPr>
          <w:p w14:paraId="1E92B6AD" w14:textId="3B31A203" w:rsidR="003B1044" w:rsidRDefault="003B1044" w:rsidP="003B1044">
            <w:pPr>
              <w:pStyle w:val="TableBlock"/>
              <w:keepLines w:val="0"/>
              <w:jc w:val="center"/>
              <w:rPr>
                <w:b/>
                <w:bCs/>
                <w:rtl/>
              </w:rPr>
            </w:pPr>
            <w:r w:rsidRPr="00F32692">
              <w:rPr>
                <w:b/>
                <w:bCs/>
                <w:rtl/>
              </w:rPr>
              <w:t>(סעיף 3א)</w:t>
            </w:r>
          </w:p>
        </w:tc>
      </w:tr>
      <w:tr w:rsidR="003B1044" w14:paraId="4F38BE39" w14:textId="77777777">
        <w:trPr>
          <w:cantSplit/>
          <w:trHeight w:val="60"/>
        </w:trPr>
        <w:tc>
          <w:tcPr>
            <w:tcW w:w="1871" w:type="dxa"/>
          </w:tcPr>
          <w:p w14:paraId="293E7FC6" w14:textId="21E94DD8" w:rsidR="003B1044" w:rsidRDefault="003B1044" w:rsidP="004F4BCD">
            <w:pPr>
              <w:pStyle w:val="TableSideHeading"/>
              <w:ind w:left="408"/>
              <w:rPr>
                <w:rtl/>
              </w:rPr>
            </w:pPr>
          </w:p>
        </w:tc>
        <w:tc>
          <w:tcPr>
            <w:tcW w:w="624" w:type="dxa"/>
          </w:tcPr>
          <w:p w14:paraId="5DB8A8FE" w14:textId="77777777" w:rsidR="003B1044" w:rsidRDefault="003B1044" w:rsidP="003B1044">
            <w:pPr>
              <w:pStyle w:val="TableText"/>
            </w:pPr>
          </w:p>
        </w:tc>
        <w:tc>
          <w:tcPr>
            <w:tcW w:w="7146" w:type="dxa"/>
            <w:gridSpan w:val="6"/>
          </w:tcPr>
          <w:p w14:paraId="1037FEDA" w14:textId="3B71008E" w:rsidR="003B1044" w:rsidRPr="003B1044" w:rsidRDefault="003B1044" w:rsidP="00C57EB2">
            <w:pPr>
              <w:pStyle w:val="TableBlock"/>
              <w:numPr>
                <w:ilvl w:val="0"/>
                <w:numId w:val="23"/>
              </w:numPr>
              <w:tabs>
                <w:tab w:val="left" w:pos="624"/>
              </w:tabs>
              <w:rPr>
                <w:rtl/>
              </w:rPr>
            </w:pPr>
            <w:r>
              <w:rPr>
                <w:rFonts w:hint="cs"/>
                <w:rtl/>
              </w:rPr>
              <w:t xml:space="preserve">סעיף 30א לחוק </w:t>
            </w:r>
            <w:r w:rsidRPr="003B1044">
              <w:rPr>
                <w:rtl/>
              </w:rPr>
              <w:t>התקשורת (בזק ושידורים), תשמ"ב-1982</w:t>
            </w:r>
          </w:p>
        </w:tc>
      </w:tr>
      <w:tr w:rsidR="00947D3F" w14:paraId="62668CAB" w14:textId="77777777">
        <w:trPr>
          <w:cantSplit/>
          <w:trHeight w:val="60"/>
        </w:trPr>
        <w:tc>
          <w:tcPr>
            <w:tcW w:w="1871" w:type="dxa"/>
          </w:tcPr>
          <w:p w14:paraId="7A325FFC" w14:textId="269A836E" w:rsidR="00947D3F" w:rsidRPr="003B1044" w:rsidRDefault="00947D3F" w:rsidP="0078657C">
            <w:pPr>
              <w:pStyle w:val="TableSideHeading"/>
              <w:rPr>
                <w:sz w:val="14"/>
                <w:szCs w:val="20"/>
                <w:highlight w:val="cyan"/>
                <w:rtl/>
              </w:rPr>
            </w:pPr>
          </w:p>
        </w:tc>
        <w:tc>
          <w:tcPr>
            <w:tcW w:w="624" w:type="dxa"/>
          </w:tcPr>
          <w:p w14:paraId="79993DAE" w14:textId="77777777" w:rsidR="00947D3F" w:rsidRDefault="00947D3F" w:rsidP="00947D3F">
            <w:pPr>
              <w:pStyle w:val="TableText"/>
            </w:pPr>
          </w:p>
        </w:tc>
        <w:tc>
          <w:tcPr>
            <w:tcW w:w="7146" w:type="dxa"/>
            <w:gridSpan w:val="6"/>
          </w:tcPr>
          <w:p w14:paraId="06E03539" w14:textId="3973A779" w:rsidR="00947D3F" w:rsidRDefault="00947D3F" w:rsidP="00C57EB2">
            <w:pPr>
              <w:pStyle w:val="TableBlock"/>
              <w:numPr>
                <w:ilvl w:val="0"/>
                <w:numId w:val="23"/>
              </w:numPr>
              <w:tabs>
                <w:tab w:val="left" w:pos="624"/>
              </w:tabs>
              <w:rPr>
                <w:rtl/>
              </w:rPr>
            </w:pPr>
            <w:r>
              <w:rPr>
                <w:rFonts w:hint="cs"/>
                <w:rtl/>
              </w:rPr>
              <w:t>תקנה 34 ל</w:t>
            </w:r>
            <w:r w:rsidRPr="00947D3F">
              <w:rPr>
                <w:rtl/>
              </w:rPr>
              <w:t>תקנות שוויון זכויות לאנשים עם מוגבלות (התאמות נגישות לשירות)</w:t>
            </w:r>
          </w:p>
        </w:tc>
      </w:tr>
      <w:tr w:rsidR="005206AE" w14:paraId="3120501F" w14:textId="77777777">
        <w:trPr>
          <w:cantSplit/>
          <w:trHeight w:val="60"/>
        </w:trPr>
        <w:tc>
          <w:tcPr>
            <w:tcW w:w="1871" w:type="dxa"/>
          </w:tcPr>
          <w:p w14:paraId="6466E322" w14:textId="77777777" w:rsidR="005206AE" w:rsidRPr="003B1044" w:rsidRDefault="005206AE" w:rsidP="007D7D5F">
            <w:pPr>
              <w:pStyle w:val="TableSideHeading"/>
              <w:tabs>
                <w:tab w:val="clear" w:pos="624"/>
              </w:tabs>
              <w:ind w:left="408"/>
              <w:rPr>
                <w:sz w:val="14"/>
                <w:szCs w:val="20"/>
                <w:highlight w:val="cyan"/>
                <w:rtl/>
              </w:rPr>
            </w:pPr>
          </w:p>
        </w:tc>
        <w:tc>
          <w:tcPr>
            <w:tcW w:w="624" w:type="dxa"/>
          </w:tcPr>
          <w:p w14:paraId="5A247BD9" w14:textId="77777777" w:rsidR="005206AE" w:rsidRDefault="005206AE" w:rsidP="005206AE">
            <w:pPr>
              <w:pStyle w:val="TableText"/>
            </w:pPr>
          </w:p>
        </w:tc>
        <w:tc>
          <w:tcPr>
            <w:tcW w:w="7146" w:type="dxa"/>
            <w:gridSpan w:val="6"/>
          </w:tcPr>
          <w:p w14:paraId="44B00E45" w14:textId="60547071" w:rsidR="005206AE" w:rsidRDefault="00163BDD" w:rsidP="00C57EB2">
            <w:pPr>
              <w:pStyle w:val="TableBlock"/>
              <w:numPr>
                <w:ilvl w:val="0"/>
                <w:numId w:val="23"/>
              </w:numPr>
              <w:tabs>
                <w:tab w:val="left" w:pos="624"/>
              </w:tabs>
              <w:rPr>
                <w:rtl/>
              </w:rPr>
            </w:pPr>
            <w:r w:rsidRPr="00163BDD">
              <w:rPr>
                <w:rtl/>
              </w:rPr>
              <w:t>צו הגנת הצרכן (סימון טובין), תשמ"ג-1983</w:t>
            </w:r>
          </w:p>
        </w:tc>
      </w:tr>
      <w:tr w:rsidR="00163BDD" w14:paraId="5E8301A5" w14:textId="77777777">
        <w:trPr>
          <w:cantSplit/>
          <w:trHeight w:val="60"/>
        </w:trPr>
        <w:tc>
          <w:tcPr>
            <w:tcW w:w="1871" w:type="dxa"/>
          </w:tcPr>
          <w:p w14:paraId="2D81ECB8" w14:textId="77777777" w:rsidR="00163BDD" w:rsidRPr="003B1044" w:rsidRDefault="00163BDD" w:rsidP="007D7D5F">
            <w:pPr>
              <w:pStyle w:val="TableSideHeading"/>
              <w:tabs>
                <w:tab w:val="clear" w:pos="624"/>
              </w:tabs>
              <w:ind w:left="408"/>
              <w:rPr>
                <w:sz w:val="14"/>
                <w:szCs w:val="20"/>
                <w:highlight w:val="cyan"/>
                <w:rtl/>
              </w:rPr>
            </w:pPr>
          </w:p>
        </w:tc>
        <w:tc>
          <w:tcPr>
            <w:tcW w:w="624" w:type="dxa"/>
          </w:tcPr>
          <w:p w14:paraId="6C63271B" w14:textId="77777777" w:rsidR="00163BDD" w:rsidRDefault="00163BDD" w:rsidP="00163BDD">
            <w:pPr>
              <w:pStyle w:val="TableText"/>
            </w:pPr>
          </w:p>
        </w:tc>
        <w:tc>
          <w:tcPr>
            <w:tcW w:w="7146" w:type="dxa"/>
            <w:gridSpan w:val="6"/>
          </w:tcPr>
          <w:p w14:paraId="32E035F7" w14:textId="0E7E0111" w:rsidR="00163BDD" w:rsidRPr="00163BDD" w:rsidRDefault="00163BDD" w:rsidP="00C57EB2">
            <w:pPr>
              <w:pStyle w:val="TableBlock"/>
              <w:numPr>
                <w:ilvl w:val="0"/>
                <w:numId w:val="23"/>
              </w:numPr>
              <w:tabs>
                <w:tab w:val="left" w:pos="624"/>
              </w:tabs>
              <w:rPr>
                <w:rtl/>
              </w:rPr>
            </w:pPr>
            <w:r w:rsidRPr="00163BDD">
              <w:rPr>
                <w:rtl/>
              </w:rPr>
              <w:t>צו הגנת הצרכן (סימון ואריזה של מוצרי מזון), תשנ"ט-1998</w:t>
            </w:r>
          </w:p>
        </w:tc>
      </w:tr>
      <w:tr w:rsidR="00163BDD" w14:paraId="55D90F38" w14:textId="77777777">
        <w:trPr>
          <w:cantSplit/>
          <w:trHeight w:val="60"/>
        </w:trPr>
        <w:tc>
          <w:tcPr>
            <w:tcW w:w="1871" w:type="dxa"/>
          </w:tcPr>
          <w:p w14:paraId="3086D8D7" w14:textId="77777777" w:rsidR="00163BDD" w:rsidRPr="003B1044" w:rsidRDefault="00163BDD" w:rsidP="007D7D5F">
            <w:pPr>
              <w:pStyle w:val="TableSideHeading"/>
              <w:tabs>
                <w:tab w:val="clear" w:pos="624"/>
              </w:tabs>
              <w:ind w:left="408"/>
              <w:rPr>
                <w:sz w:val="14"/>
                <w:szCs w:val="20"/>
                <w:highlight w:val="cyan"/>
                <w:rtl/>
              </w:rPr>
            </w:pPr>
          </w:p>
        </w:tc>
        <w:tc>
          <w:tcPr>
            <w:tcW w:w="624" w:type="dxa"/>
          </w:tcPr>
          <w:p w14:paraId="403980CE" w14:textId="77777777" w:rsidR="00163BDD" w:rsidRDefault="00163BDD" w:rsidP="00163BDD">
            <w:pPr>
              <w:pStyle w:val="TableText"/>
            </w:pPr>
          </w:p>
        </w:tc>
        <w:tc>
          <w:tcPr>
            <w:tcW w:w="7146" w:type="dxa"/>
            <w:gridSpan w:val="6"/>
          </w:tcPr>
          <w:p w14:paraId="790F2A5C" w14:textId="27A56D07" w:rsidR="00163BDD" w:rsidRPr="00163BDD" w:rsidRDefault="00163BDD" w:rsidP="00C57EB2">
            <w:pPr>
              <w:pStyle w:val="TableBlock"/>
              <w:numPr>
                <w:ilvl w:val="0"/>
                <w:numId w:val="23"/>
              </w:numPr>
              <w:tabs>
                <w:tab w:val="left" w:pos="624"/>
              </w:tabs>
              <w:rPr>
                <w:rtl/>
              </w:rPr>
            </w:pPr>
            <w:r w:rsidRPr="00163BDD">
              <w:rPr>
                <w:rtl/>
              </w:rPr>
              <w:t>תקנות הגנה על בריאות הציבור</w:t>
            </w:r>
            <w:r w:rsidR="001C3AE2">
              <w:rPr>
                <w:rFonts w:hint="cs"/>
                <w:rtl/>
              </w:rPr>
              <w:t xml:space="preserve"> </w:t>
            </w:r>
            <w:r w:rsidRPr="00163BDD">
              <w:rPr>
                <w:rtl/>
              </w:rPr>
              <w:t>(מזון) (סימון תזונתי)</w:t>
            </w:r>
            <w:r w:rsidR="001C3AE2">
              <w:rPr>
                <w:rFonts w:hint="cs"/>
                <w:rtl/>
              </w:rPr>
              <w:t>, תשע"ח-</w:t>
            </w:r>
            <w:r w:rsidRPr="00163BDD">
              <w:rPr>
                <w:rtl/>
              </w:rPr>
              <w:t>2017</w:t>
            </w:r>
          </w:p>
        </w:tc>
      </w:tr>
      <w:tr w:rsidR="00163BDD" w14:paraId="43D49D9B" w14:textId="77777777">
        <w:trPr>
          <w:cantSplit/>
          <w:trHeight w:val="60"/>
        </w:trPr>
        <w:tc>
          <w:tcPr>
            <w:tcW w:w="1871" w:type="dxa"/>
          </w:tcPr>
          <w:p w14:paraId="49C7B066" w14:textId="77777777" w:rsidR="00163BDD" w:rsidRPr="003B1044" w:rsidRDefault="00163BDD" w:rsidP="007D7D5F">
            <w:pPr>
              <w:pStyle w:val="TableSideHeading"/>
              <w:tabs>
                <w:tab w:val="clear" w:pos="624"/>
              </w:tabs>
              <w:ind w:left="408"/>
              <w:rPr>
                <w:sz w:val="14"/>
                <w:szCs w:val="20"/>
                <w:highlight w:val="cyan"/>
                <w:rtl/>
              </w:rPr>
            </w:pPr>
          </w:p>
        </w:tc>
        <w:tc>
          <w:tcPr>
            <w:tcW w:w="624" w:type="dxa"/>
          </w:tcPr>
          <w:p w14:paraId="0CC7069C" w14:textId="77777777" w:rsidR="00163BDD" w:rsidRDefault="00163BDD" w:rsidP="00163BDD">
            <w:pPr>
              <w:pStyle w:val="TableText"/>
            </w:pPr>
          </w:p>
        </w:tc>
        <w:tc>
          <w:tcPr>
            <w:tcW w:w="7146" w:type="dxa"/>
            <w:gridSpan w:val="6"/>
          </w:tcPr>
          <w:p w14:paraId="4A554213" w14:textId="10547B0A" w:rsidR="00163BDD" w:rsidRPr="00163BDD" w:rsidRDefault="00163BDD" w:rsidP="00C57EB2">
            <w:pPr>
              <w:pStyle w:val="TableBlock"/>
              <w:numPr>
                <w:ilvl w:val="0"/>
                <w:numId w:val="23"/>
              </w:numPr>
              <w:tabs>
                <w:tab w:val="left" w:pos="624"/>
              </w:tabs>
              <w:rPr>
                <w:rtl/>
              </w:rPr>
            </w:pPr>
            <w:r w:rsidRPr="00163BDD">
              <w:rPr>
                <w:rtl/>
              </w:rPr>
              <w:t>תקנות הגנת הצרכן (מחיר ליחידת מידה), תשס"ח-2008</w:t>
            </w:r>
          </w:p>
        </w:tc>
      </w:tr>
      <w:tr w:rsidR="00163BDD" w14:paraId="671A850C" w14:textId="6451DF2A">
        <w:trPr>
          <w:cantSplit/>
          <w:trHeight w:val="60"/>
        </w:trPr>
        <w:tc>
          <w:tcPr>
            <w:tcW w:w="1871" w:type="dxa"/>
          </w:tcPr>
          <w:p w14:paraId="0E3A4829" w14:textId="71F64D55" w:rsidR="00163BDD" w:rsidRPr="003B1044" w:rsidRDefault="00163BDD" w:rsidP="007D7D5F">
            <w:pPr>
              <w:pStyle w:val="TableSideHeading"/>
              <w:tabs>
                <w:tab w:val="clear" w:pos="624"/>
              </w:tabs>
              <w:ind w:left="408"/>
              <w:rPr>
                <w:sz w:val="14"/>
                <w:szCs w:val="20"/>
                <w:highlight w:val="cyan"/>
                <w:rtl/>
              </w:rPr>
            </w:pPr>
          </w:p>
        </w:tc>
        <w:tc>
          <w:tcPr>
            <w:tcW w:w="624" w:type="dxa"/>
          </w:tcPr>
          <w:p w14:paraId="6CEEF50E" w14:textId="1101BC87" w:rsidR="00163BDD" w:rsidRDefault="00163BDD" w:rsidP="00163BDD">
            <w:pPr>
              <w:pStyle w:val="TableText"/>
            </w:pPr>
          </w:p>
        </w:tc>
        <w:tc>
          <w:tcPr>
            <w:tcW w:w="7146" w:type="dxa"/>
            <w:gridSpan w:val="6"/>
          </w:tcPr>
          <w:p w14:paraId="263C01B7" w14:textId="601D6FAB" w:rsidR="00163BDD" w:rsidRPr="00163BDD" w:rsidRDefault="00163BDD" w:rsidP="00C57EB2">
            <w:pPr>
              <w:pStyle w:val="TableBlock"/>
              <w:numPr>
                <w:ilvl w:val="0"/>
                <w:numId w:val="23"/>
              </w:numPr>
              <w:tabs>
                <w:tab w:val="left" w:pos="624"/>
              </w:tabs>
              <w:rPr>
                <w:rtl/>
              </w:rPr>
            </w:pPr>
            <w:r w:rsidRPr="00163BDD">
              <w:rPr>
                <w:rFonts w:hint="cs"/>
                <w:rtl/>
              </w:rPr>
              <w:t xml:space="preserve">סעיף </w:t>
            </w:r>
            <w:r w:rsidRPr="00163BDD">
              <w:rPr>
                <w:rtl/>
              </w:rPr>
              <w:t>18(ג) לתקנו</w:t>
            </w:r>
            <w:r w:rsidR="008E4023">
              <w:rPr>
                <w:rFonts w:hint="cs"/>
                <w:rtl/>
              </w:rPr>
              <w:t xml:space="preserve">ת </w:t>
            </w:r>
            <w:r w:rsidR="008E4023" w:rsidRPr="00947D3F">
              <w:rPr>
                <w:rtl/>
              </w:rPr>
              <w:t>שוויון זכויות לאנשים עם מוגבלות (התאמות נגישות לשירות</w:t>
            </w:r>
            <w:r w:rsidR="008E4023">
              <w:rPr>
                <w:rFonts w:hint="cs"/>
                <w:rtl/>
              </w:rPr>
              <w:t>)</w:t>
            </w:r>
          </w:p>
        </w:tc>
      </w:tr>
      <w:tr w:rsidR="008E4023" w14:paraId="287648BB" w14:textId="77777777">
        <w:trPr>
          <w:cantSplit/>
          <w:trHeight w:val="60"/>
        </w:trPr>
        <w:tc>
          <w:tcPr>
            <w:tcW w:w="1871" w:type="dxa"/>
          </w:tcPr>
          <w:p w14:paraId="126AE13D" w14:textId="77777777" w:rsidR="008E4023" w:rsidRPr="003B1044" w:rsidRDefault="008E4023" w:rsidP="007D7D5F">
            <w:pPr>
              <w:pStyle w:val="TableSideHeading"/>
              <w:tabs>
                <w:tab w:val="clear" w:pos="624"/>
              </w:tabs>
              <w:ind w:left="408"/>
              <w:rPr>
                <w:sz w:val="14"/>
                <w:szCs w:val="20"/>
                <w:highlight w:val="cyan"/>
                <w:rtl/>
              </w:rPr>
            </w:pPr>
          </w:p>
        </w:tc>
        <w:tc>
          <w:tcPr>
            <w:tcW w:w="624" w:type="dxa"/>
          </w:tcPr>
          <w:p w14:paraId="294F940A" w14:textId="77777777" w:rsidR="008E4023" w:rsidRDefault="008E4023" w:rsidP="008E4023">
            <w:pPr>
              <w:pStyle w:val="TableText"/>
            </w:pPr>
          </w:p>
        </w:tc>
        <w:tc>
          <w:tcPr>
            <w:tcW w:w="7146" w:type="dxa"/>
            <w:gridSpan w:val="6"/>
          </w:tcPr>
          <w:p w14:paraId="6CEF03EB" w14:textId="1A285B63" w:rsidR="008E4023" w:rsidRPr="00163BDD" w:rsidRDefault="008E4023" w:rsidP="00C57EB2">
            <w:pPr>
              <w:pStyle w:val="TableBlock"/>
              <w:numPr>
                <w:ilvl w:val="0"/>
                <w:numId w:val="23"/>
              </w:numPr>
              <w:tabs>
                <w:tab w:val="left" w:pos="624"/>
              </w:tabs>
              <w:rPr>
                <w:rtl/>
              </w:rPr>
            </w:pPr>
            <w:r>
              <w:rPr>
                <w:rFonts w:hint="cs"/>
                <w:rtl/>
              </w:rPr>
              <w:t>סעיף 91 לתקנות</w:t>
            </w:r>
            <w:r w:rsidRPr="00947D3F">
              <w:rPr>
                <w:rtl/>
              </w:rPr>
              <w:t xml:space="preserve"> שוויון זכויות לאנשים עם מוגבלות (התאמות נגישות לשירות</w:t>
            </w:r>
            <w:r>
              <w:rPr>
                <w:rFonts w:hint="cs"/>
                <w:rtl/>
              </w:rPr>
              <w:t>)</w:t>
            </w:r>
          </w:p>
        </w:tc>
      </w:tr>
      <w:tr w:rsidR="00C46D94" w14:paraId="60E0FACF" w14:textId="77777777">
        <w:trPr>
          <w:cantSplit/>
          <w:trHeight w:val="60"/>
        </w:trPr>
        <w:tc>
          <w:tcPr>
            <w:tcW w:w="1871" w:type="dxa"/>
          </w:tcPr>
          <w:p w14:paraId="05FF6383" w14:textId="77777777" w:rsidR="00C46D94" w:rsidRPr="003B1044" w:rsidRDefault="00C46D94" w:rsidP="007D7D5F">
            <w:pPr>
              <w:pStyle w:val="TableSideHeading"/>
              <w:tabs>
                <w:tab w:val="clear" w:pos="624"/>
              </w:tabs>
              <w:ind w:left="408"/>
              <w:rPr>
                <w:sz w:val="14"/>
                <w:szCs w:val="20"/>
                <w:highlight w:val="cyan"/>
                <w:rtl/>
              </w:rPr>
            </w:pPr>
          </w:p>
        </w:tc>
        <w:tc>
          <w:tcPr>
            <w:tcW w:w="624" w:type="dxa"/>
          </w:tcPr>
          <w:p w14:paraId="31994420" w14:textId="77777777" w:rsidR="00C46D94" w:rsidRDefault="00C46D94" w:rsidP="00C46D94">
            <w:pPr>
              <w:pStyle w:val="TableText"/>
            </w:pPr>
          </w:p>
        </w:tc>
        <w:tc>
          <w:tcPr>
            <w:tcW w:w="7146" w:type="dxa"/>
            <w:gridSpan w:val="6"/>
          </w:tcPr>
          <w:p w14:paraId="5FD7478E" w14:textId="177AF6AA" w:rsidR="00C46D94" w:rsidRDefault="00C46D94" w:rsidP="00C57EB2">
            <w:pPr>
              <w:pStyle w:val="TableBlock"/>
              <w:numPr>
                <w:ilvl w:val="0"/>
                <w:numId w:val="23"/>
              </w:numPr>
              <w:tabs>
                <w:tab w:val="left" w:pos="624"/>
              </w:tabs>
              <w:rPr>
                <w:rtl/>
              </w:rPr>
            </w:pPr>
            <w:r>
              <w:rPr>
                <w:rFonts w:hint="cs"/>
                <w:rtl/>
              </w:rPr>
              <w:t xml:space="preserve">סעיף 35ה לתקנות </w:t>
            </w:r>
            <w:r w:rsidRPr="00947D3F">
              <w:rPr>
                <w:rtl/>
              </w:rPr>
              <w:t>שוויון זכויות לאנשים עם מוגבלות (התאמות נגישות לשירות</w:t>
            </w:r>
            <w:r>
              <w:rPr>
                <w:rFonts w:hint="cs"/>
                <w:rtl/>
              </w:rPr>
              <w:t>)</w:t>
            </w:r>
          </w:p>
        </w:tc>
      </w:tr>
      <w:tr w:rsidR="00CF7530" w14:paraId="41C6E6AD" w14:textId="77777777">
        <w:trPr>
          <w:cantSplit/>
          <w:trHeight w:val="60"/>
        </w:trPr>
        <w:tc>
          <w:tcPr>
            <w:tcW w:w="1871" w:type="dxa"/>
          </w:tcPr>
          <w:p w14:paraId="031BBA13" w14:textId="77777777" w:rsidR="00CF7530" w:rsidRPr="003B1044" w:rsidRDefault="00CF7530" w:rsidP="007D7D5F">
            <w:pPr>
              <w:pStyle w:val="TableSideHeading"/>
              <w:tabs>
                <w:tab w:val="clear" w:pos="624"/>
              </w:tabs>
              <w:ind w:left="408"/>
              <w:rPr>
                <w:sz w:val="14"/>
                <w:szCs w:val="20"/>
                <w:highlight w:val="cyan"/>
                <w:rtl/>
              </w:rPr>
            </w:pPr>
          </w:p>
        </w:tc>
        <w:tc>
          <w:tcPr>
            <w:tcW w:w="624" w:type="dxa"/>
          </w:tcPr>
          <w:p w14:paraId="59BE1D41" w14:textId="77777777" w:rsidR="00CF7530" w:rsidRDefault="00CF7530" w:rsidP="00CF7530">
            <w:pPr>
              <w:pStyle w:val="TableText"/>
            </w:pPr>
          </w:p>
        </w:tc>
        <w:tc>
          <w:tcPr>
            <w:tcW w:w="7146" w:type="dxa"/>
            <w:gridSpan w:val="6"/>
          </w:tcPr>
          <w:p w14:paraId="6D7522DA" w14:textId="694D648A" w:rsidR="00CF7530" w:rsidRPr="00CF7530" w:rsidRDefault="00CF7530" w:rsidP="00C57EB2">
            <w:pPr>
              <w:pStyle w:val="af"/>
              <w:numPr>
                <w:ilvl w:val="0"/>
                <w:numId w:val="23"/>
              </w:numPr>
              <w:spacing w:line="240" w:lineRule="auto"/>
              <w:contextualSpacing w:val="0"/>
              <w:jc w:val="left"/>
              <w:rPr>
                <w:rFonts w:ascii="Arial" w:eastAsia="Arial Unicode MS" w:hAnsi="Arial"/>
                <w:snapToGrid w:val="0"/>
                <w:sz w:val="20"/>
                <w:szCs w:val="26"/>
                <w:rtl/>
              </w:rPr>
            </w:pPr>
            <w:r w:rsidRPr="00CF7530">
              <w:rPr>
                <w:rFonts w:ascii="Arial" w:eastAsia="Arial Unicode MS" w:hAnsi="Arial" w:hint="cs"/>
                <w:snapToGrid w:val="0"/>
                <w:sz w:val="20"/>
                <w:szCs w:val="26"/>
                <w:rtl/>
              </w:rPr>
              <w:t>סעיף 20(ב) לחוק המכר, תשכ"ח-1968</w:t>
            </w:r>
          </w:p>
        </w:tc>
      </w:tr>
      <w:tr w:rsidR="008E510E" w14:paraId="1E5D81F2" w14:textId="77777777">
        <w:trPr>
          <w:cantSplit/>
          <w:trHeight w:val="60"/>
        </w:trPr>
        <w:tc>
          <w:tcPr>
            <w:tcW w:w="1871" w:type="dxa"/>
          </w:tcPr>
          <w:p w14:paraId="6EC4AA3E" w14:textId="77777777" w:rsidR="008E510E" w:rsidRPr="003B1044" w:rsidRDefault="008E510E" w:rsidP="007D7D5F">
            <w:pPr>
              <w:pStyle w:val="TableSideHeading"/>
              <w:tabs>
                <w:tab w:val="clear" w:pos="624"/>
              </w:tabs>
              <w:ind w:left="408"/>
              <w:rPr>
                <w:sz w:val="14"/>
                <w:szCs w:val="20"/>
                <w:highlight w:val="cyan"/>
                <w:rtl/>
              </w:rPr>
            </w:pPr>
          </w:p>
        </w:tc>
        <w:tc>
          <w:tcPr>
            <w:tcW w:w="624" w:type="dxa"/>
          </w:tcPr>
          <w:p w14:paraId="09C3FCC5" w14:textId="77777777" w:rsidR="008E510E" w:rsidRDefault="008E510E" w:rsidP="008E510E">
            <w:pPr>
              <w:pStyle w:val="TableText"/>
            </w:pPr>
          </w:p>
        </w:tc>
        <w:tc>
          <w:tcPr>
            <w:tcW w:w="7146" w:type="dxa"/>
            <w:gridSpan w:val="6"/>
          </w:tcPr>
          <w:p w14:paraId="3EC4C8F0" w14:textId="762BF5C0" w:rsidR="008E510E" w:rsidRPr="00CF7530" w:rsidRDefault="008E510E" w:rsidP="00C57EB2">
            <w:pPr>
              <w:pStyle w:val="af"/>
              <w:numPr>
                <w:ilvl w:val="0"/>
                <w:numId w:val="23"/>
              </w:numPr>
              <w:spacing w:line="240" w:lineRule="auto"/>
              <w:contextualSpacing w:val="0"/>
              <w:jc w:val="left"/>
              <w:rPr>
                <w:rFonts w:ascii="Arial" w:eastAsia="Arial Unicode MS" w:hAnsi="Arial"/>
                <w:snapToGrid w:val="0"/>
                <w:sz w:val="20"/>
                <w:szCs w:val="26"/>
                <w:rtl/>
              </w:rPr>
            </w:pPr>
            <w:r>
              <w:rPr>
                <w:rFonts w:ascii="Arial" w:eastAsia="Arial Unicode MS" w:hAnsi="Arial" w:hint="cs"/>
                <w:snapToGrid w:val="0"/>
                <w:sz w:val="20"/>
                <w:szCs w:val="26"/>
                <w:rtl/>
              </w:rPr>
              <w:t>סעיף 17(ג) לחוק הגנת הצרכן</w:t>
            </w:r>
            <w:r w:rsidR="001C3AE2">
              <w:rPr>
                <w:rFonts w:ascii="Arial" w:eastAsia="Arial Unicode MS" w:hAnsi="Arial" w:hint="cs"/>
                <w:snapToGrid w:val="0"/>
                <w:sz w:val="20"/>
                <w:szCs w:val="26"/>
                <w:rtl/>
              </w:rPr>
              <w:t>, תשמ"א-1981</w:t>
            </w:r>
          </w:p>
        </w:tc>
      </w:tr>
      <w:tr w:rsidR="00760815" w14:paraId="14F14CAA" w14:textId="77777777">
        <w:trPr>
          <w:cantSplit/>
          <w:trHeight w:val="60"/>
        </w:trPr>
        <w:tc>
          <w:tcPr>
            <w:tcW w:w="1871" w:type="dxa"/>
          </w:tcPr>
          <w:p w14:paraId="4AA6B7E4" w14:textId="77777777" w:rsidR="00760815" w:rsidRPr="003B1044" w:rsidRDefault="00760815" w:rsidP="007D7D5F">
            <w:pPr>
              <w:pStyle w:val="TableSideHeading"/>
              <w:ind w:left="408"/>
              <w:rPr>
                <w:sz w:val="14"/>
                <w:szCs w:val="20"/>
                <w:highlight w:val="cyan"/>
                <w:rtl/>
              </w:rPr>
            </w:pPr>
          </w:p>
        </w:tc>
        <w:tc>
          <w:tcPr>
            <w:tcW w:w="624" w:type="dxa"/>
          </w:tcPr>
          <w:p w14:paraId="78E97506" w14:textId="77777777" w:rsidR="00760815" w:rsidRDefault="00760815" w:rsidP="00760815">
            <w:pPr>
              <w:pStyle w:val="TableText"/>
            </w:pPr>
          </w:p>
        </w:tc>
        <w:tc>
          <w:tcPr>
            <w:tcW w:w="7146" w:type="dxa"/>
            <w:gridSpan w:val="6"/>
          </w:tcPr>
          <w:p w14:paraId="2F3B6729" w14:textId="72CDDEB6" w:rsidR="00760815" w:rsidRPr="00760815" w:rsidRDefault="00760815" w:rsidP="00760815">
            <w:pPr>
              <w:pStyle w:val="TableBlock"/>
              <w:jc w:val="center"/>
              <w:rPr>
                <w:b/>
                <w:bCs/>
                <w:rtl/>
              </w:rPr>
            </w:pPr>
            <w:r>
              <w:rPr>
                <w:rFonts w:hint="cs"/>
                <w:b/>
                <w:bCs/>
                <w:rtl/>
              </w:rPr>
              <w:t>תוספת חמישית</w:t>
            </w:r>
          </w:p>
        </w:tc>
      </w:tr>
      <w:tr w:rsidR="00760815" w14:paraId="64218838" w14:textId="77777777">
        <w:trPr>
          <w:cantSplit/>
          <w:trHeight w:val="60"/>
        </w:trPr>
        <w:tc>
          <w:tcPr>
            <w:tcW w:w="1871" w:type="dxa"/>
          </w:tcPr>
          <w:p w14:paraId="6ED508D0" w14:textId="2BD1FF76" w:rsidR="00760815" w:rsidRPr="003B1044" w:rsidRDefault="00760815" w:rsidP="008F426D">
            <w:pPr>
              <w:pStyle w:val="TableSideHeading"/>
              <w:ind w:left="408"/>
              <w:rPr>
                <w:sz w:val="14"/>
                <w:szCs w:val="20"/>
                <w:highlight w:val="cyan"/>
                <w:rtl/>
              </w:rPr>
            </w:pPr>
          </w:p>
        </w:tc>
        <w:tc>
          <w:tcPr>
            <w:tcW w:w="624" w:type="dxa"/>
          </w:tcPr>
          <w:p w14:paraId="7DC0030D" w14:textId="77777777" w:rsidR="00760815" w:rsidRDefault="00760815" w:rsidP="00760815">
            <w:pPr>
              <w:pStyle w:val="TableText"/>
            </w:pPr>
          </w:p>
        </w:tc>
        <w:tc>
          <w:tcPr>
            <w:tcW w:w="7146" w:type="dxa"/>
            <w:gridSpan w:val="6"/>
          </w:tcPr>
          <w:p w14:paraId="4A4214B7" w14:textId="0F9DC3C8" w:rsidR="00760815" w:rsidRPr="00530243" w:rsidRDefault="00760815" w:rsidP="00760815">
            <w:pPr>
              <w:pStyle w:val="TableBlock"/>
              <w:tabs>
                <w:tab w:val="clear" w:pos="624"/>
              </w:tabs>
              <w:jc w:val="center"/>
              <w:rPr>
                <w:b/>
                <w:bCs/>
                <w:highlight w:val="green"/>
                <w:rtl/>
              </w:rPr>
            </w:pPr>
            <w:r w:rsidRPr="00F32692">
              <w:rPr>
                <w:rFonts w:hint="eastAsia"/>
                <w:b/>
                <w:bCs/>
                <w:rtl/>
              </w:rPr>
              <w:t>סעיפים</w:t>
            </w:r>
            <w:r w:rsidR="00461E2C" w:rsidRPr="00F32692">
              <w:rPr>
                <w:b/>
                <w:bCs/>
                <w:rtl/>
              </w:rPr>
              <w:t xml:space="preserve"> 3א(ב), </w:t>
            </w:r>
            <w:r w:rsidR="0014544C" w:rsidRPr="00F32692">
              <w:rPr>
                <w:rFonts w:hint="cs"/>
                <w:b/>
                <w:bCs/>
                <w:rtl/>
              </w:rPr>
              <w:t>3ב(ב), 23(א)-(ג),(ו),(ח) ו-(י)</w:t>
            </w:r>
          </w:p>
        </w:tc>
      </w:tr>
      <w:tr w:rsidR="001F6A15" w14:paraId="26940697" w14:textId="77777777">
        <w:trPr>
          <w:cantSplit/>
          <w:trHeight w:val="60"/>
        </w:trPr>
        <w:tc>
          <w:tcPr>
            <w:tcW w:w="1871" w:type="dxa"/>
          </w:tcPr>
          <w:p w14:paraId="49C0938D" w14:textId="77777777" w:rsidR="001F6A15" w:rsidRPr="003B1044" w:rsidRDefault="001F6A15" w:rsidP="007D7D5F">
            <w:pPr>
              <w:pStyle w:val="TableSideHeading"/>
              <w:ind w:left="408"/>
              <w:rPr>
                <w:sz w:val="14"/>
                <w:szCs w:val="20"/>
                <w:highlight w:val="cyan"/>
                <w:rtl/>
              </w:rPr>
            </w:pPr>
          </w:p>
        </w:tc>
        <w:tc>
          <w:tcPr>
            <w:tcW w:w="624" w:type="dxa"/>
          </w:tcPr>
          <w:p w14:paraId="7BE95BD7" w14:textId="77777777" w:rsidR="001F6A15" w:rsidRDefault="001F6A15" w:rsidP="001F6A15">
            <w:pPr>
              <w:pStyle w:val="TableText"/>
            </w:pPr>
          </w:p>
        </w:tc>
        <w:tc>
          <w:tcPr>
            <w:tcW w:w="7146" w:type="dxa"/>
            <w:gridSpan w:val="6"/>
          </w:tcPr>
          <w:p w14:paraId="42753C38" w14:textId="0B90BD98" w:rsidR="001F6A15" w:rsidRDefault="001F6A15" w:rsidP="00C57EB2">
            <w:pPr>
              <w:pStyle w:val="TableBlock"/>
              <w:numPr>
                <w:ilvl w:val="0"/>
                <w:numId w:val="24"/>
              </w:numPr>
              <w:tabs>
                <w:tab w:val="left" w:pos="624"/>
              </w:tabs>
              <w:rPr>
                <w:rtl/>
              </w:rPr>
            </w:pPr>
            <w:r>
              <w:rPr>
                <w:rFonts w:hint="cs"/>
                <w:rtl/>
              </w:rPr>
              <w:t>1200 שקלים חדשים;</w:t>
            </w:r>
          </w:p>
        </w:tc>
      </w:tr>
      <w:tr w:rsidR="001F6A15" w14:paraId="7DCBB760" w14:textId="77777777">
        <w:trPr>
          <w:cantSplit/>
          <w:trHeight w:val="60"/>
        </w:trPr>
        <w:tc>
          <w:tcPr>
            <w:tcW w:w="1871" w:type="dxa"/>
          </w:tcPr>
          <w:p w14:paraId="3FF896A8" w14:textId="5C07CA01" w:rsidR="001F6A15" w:rsidRPr="003B1044" w:rsidRDefault="001F6A15" w:rsidP="0099204C">
            <w:pPr>
              <w:pStyle w:val="TableSideHeading"/>
              <w:ind w:left="408"/>
              <w:rPr>
                <w:sz w:val="14"/>
                <w:szCs w:val="20"/>
                <w:highlight w:val="cyan"/>
                <w:rtl/>
              </w:rPr>
            </w:pPr>
          </w:p>
        </w:tc>
        <w:tc>
          <w:tcPr>
            <w:tcW w:w="624" w:type="dxa"/>
          </w:tcPr>
          <w:p w14:paraId="3EB87583" w14:textId="77777777" w:rsidR="001F6A15" w:rsidRDefault="001F6A15" w:rsidP="001F6A15">
            <w:pPr>
              <w:pStyle w:val="TableText"/>
            </w:pPr>
          </w:p>
        </w:tc>
        <w:tc>
          <w:tcPr>
            <w:tcW w:w="7146" w:type="dxa"/>
            <w:gridSpan w:val="6"/>
          </w:tcPr>
          <w:p w14:paraId="24E6F871" w14:textId="7BC33C42" w:rsidR="001F6A15" w:rsidRDefault="001F6A15" w:rsidP="00C57EB2">
            <w:pPr>
              <w:pStyle w:val="TableBlock"/>
              <w:numPr>
                <w:ilvl w:val="0"/>
                <w:numId w:val="24"/>
              </w:numPr>
              <w:tabs>
                <w:tab w:val="left" w:pos="624"/>
              </w:tabs>
            </w:pPr>
          </w:p>
          <w:tbl>
            <w:tblPr>
              <w:tblStyle w:val="af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1"/>
              <w:gridCol w:w="1397"/>
              <w:gridCol w:w="1659"/>
              <w:gridCol w:w="1659"/>
            </w:tblGrid>
            <w:tr w:rsidR="008F426D" w:rsidRPr="00CD1E8B" w14:paraId="68862F9A" w14:textId="77777777" w:rsidTr="00486641">
              <w:tc>
                <w:tcPr>
                  <w:tcW w:w="1921" w:type="dxa"/>
                  <w:vAlign w:val="center"/>
                </w:tcPr>
                <w:p w14:paraId="3E095BD2" w14:textId="77777777" w:rsidR="00486641" w:rsidRDefault="00486641" w:rsidP="008F426D">
                  <w:pPr>
                    <w:pStyle w:val="ruller4"/>
                    <w:bidi/>
                    <w:spacing w:before="0" w:beforeAutospacing="0" w:after="120" w:afterAutospacing="0" w:line="360" w:lineRule="auto"/>
                    <w:jc w:val="center"/>
                    <w:rPr>
                      <w:rFonts w:ascii="David" w:hAnsi="David" w:cs="David"/>
                      <w:b/>
                      <w:bCs/>
                      <w:rtl/>
                    </w:rPr>
                  </w:pPr>
                  <w:r>
                    <w:rPr>
                      <w:rFonts w:ascii="David" w:hAnsi="David" w:cs="David" w:hint="cs"/>
                      <w:b/>
                      <w:bCs/>
                      <w:rtl/>
                    </w:rPr>
                    <w:t>טור א'</w:t>
                  </w:r>
                </w:p>
                <w:p w14:paraId="7206F068" w14:textId="23CB1F63" w:rsidR="008F426D" w:rsidRPr="00CD1E8B" w:rsidRDefault="008F426D" w:rsidP="00486641">
                  <w:pPr>
                    <w:pStyle w:val="ruller4"/>
                    <w:bidi/>
                    <w:spacing w:before="0" w:beforeAutospacing="0" w:after="120" w:afterAutospacing="0" w:line="360" w:lineRule="auto"/>
                    <w:jc w:val="center"/>
                    <w:rPr>
                      <w:rFonts w:ascii="David" w:hAnsi="David" w:cs="David"/>
                      <w:b/>
                      <w:bCs/>
                      <w:rtl/>
                    </w:rPr>
                  </w:pPr>
                  <w:r w:rsidRPr="00CD1E8B">
                    <w:rPr>
                      <w:rFonts w:ascii="David" w:hAnsi="David" w:cs="David"/>
                      <w:b/>
                      <w:bCs/>
                      <w:rtl/>
                    </w:rPr>
                    <w:t>סכום הפיצוי</w:t>
                  </w:r>
                  <w:r w:rsidR="00380B78">
                    <w:rPr>
                      <w:rFonts w:ascii="David" w:hAnsi="David" w:cs="David" w:hint="cs"/>
                      <w:b/>
                      <w:bCs/>
                      <w:rtl/>
                    </w:rPr>
                    <w:t xml:space="preserve"> ללא הגמול ושכר הטרחה</w:t>
                  </w:r>
                </w:p>
              </w:tc>
              <w:tc>
                <w:tcPr>
                  <w:tcW w:w="4715" w:type="dxa"/>
                  <w:gridSpan w:val="3"/>
                  <w:vAlign w:val="center"/>
                </w:tcPr>
                <w:p w14:paraId="5A63E731" w14:textId="77777777" w:rsidR="00486641" w:rsidRDefault="00486641" w:rsidP="008F426D">
                  <w:pPr>
                    <w:pStyle w:val="ruller4"/>
                    <w:bidi/>
                    <w:spacing w:before="0" w:beforeAutospacing="0" w:after="120" w:afterAutospacing="0" w:line="360" w:lineRule="auto"/>
                    <w:jc w:val="center"/>
                    <w:rPr>
                      <w:rFonts w:ascii="David" w:hAnsi="David" w:cs="David"/>
                      <w:b/>
                      <w:bCs/>
                      <w:rtl/>
                    </w:rPr>
                  </w:pPr>
                  <w:r>
                    <w:rPr>
                      <w:rFonts w:ascii="David" w:hAnsi="David" w:cs="David" w:hint="cs"/>
                      <w:b/>
                      <w:bCs/>
                      <w:rtl/>
                    </w:rPr>
                    <w:t>טור ב'</w:t>
                  </w:r>
                </w:p>
                <w:p w14:paraId="0F41C098" w14:textId="4C39A460" w:rsidR="008F426D" w:rsidRPr="00CD1E8B" w:rsidRDefault="008F426D" w:rsidP="00486641">
                  <w:pPr>
                    <w:pStyle w:val="ruller4"/>
                    <w:bidi/>
                    <w:spacing w:before="0" w:beforeAutospacing="0" w:after="120" w:afterAutospacing="0" w:line="360" w:lineRule="auto"/>
                    <w:jc w:val="center"/>
                    <w:rPr>
                      <w:rFonts w:ascii="David" w:hAnsi="David" w:cs="David"/>
                      <w:b/>
                      <w:bCs/>
                      <w:rtl/>
                    </w:rPr>
                  </w:pPr>
                  <w:r>
                    <w:rPr>
                      <w:rFonts w:ascii="David" w:hAnsi="David" w:cs="David" w:hint="cs"/>
                      <w:b/>
                      <w:bCs/>
                      <w:rtl/>
                    </w:rPr>
                    <w:t>שיעור הגמול ושכר הטרחה לפי שלבי סיום ההליך</w:t>
                  </w:r>
                </w:p>
              </w:tc>
            </w:tr>
            <w:tr w:rsidR="008F426D" w:rsidRPr="00CD1E8B" w14:paraId="5EDEBF88" w14:textId="77777777" w:rsidTr="00486641">
              <w:tc>
                <w:tcPr>
                  <w:tcW w:w="1921" w:type="dxa"/>
                  <w:vAlign w:val="center"/>
                </w:tcPr>
                <w:p w14:paraId="7EDD2379" w14:textId="77777777" w:rsidR="008F426D" w:rsidRPr="00CD1E8B" w:rsidRDefault="008F426D" w:rsidP="008F426D">
                  <w:pPr>
                    <w:pStyle w:val="ruller4"/>
                    <w:bidi/>
                    <w:spacing w:before="0" w:beforeAutospacing="0" w:after="120" w:afterAutospacing="0" w:line="360" w:lineRule="auto"/>
                    <w:jc w:val="center"/>
                    <w:rPr>
                      <w:rFonts w:ascii="David" w:hAnsi="David" w:cs="David"/>
                      <w:b/>
                      <w:bCs/>
                      <w:rtl/>
                    </w:rPr>
                  </w:pPr>
                </w:p>
              </w:tc>
              <w:tc>
                <w:tcPr>
                  <w:tcW w:w="1397" w:type="dxa"/>
                  <w:vAlign w:val="center"/>
                </w:tcPr>
                <w:p w14:paraId="04A6D4D1" w14:textId="77777777" w:rsidR="008F426D" w:rsidRPr="00CD1E8B" w:rsidRDefault="008F426D" w:rsidP="008F426D">
                  <w:pPr>
                    <w:pStyle w:val="ruller4"/>
                    <w:bidi/>
                    <w:spacing w:before="0" w:beforeAutospacing="0" w:after="120" w:afterAutospacing="0" w:line="360" w:lineRule="auto"/>
                    <w:jc w:val="center"/>
                    <w:rPr>
                      <w:rFonts w:ascii="David" w:hAnsi="David" w:cs="David"/>
                      <w:b/>
                      <w:bCs/>
                      <w:rtl/>
                    </w:rPr>
                  </w:pPr>
                  <w:r w:rsidRPr="00CD1E8B">
                    <w:rPr>
                      <w:rFonts w:ascii="David" w:hAnsi="David" w:cs="David"/>
                      <w:b/>
                      <w:bCs/>
                      <w:rtl/>
                    </w:rPr>
                    <w:t>פסק דין</w:t>
                  </w:r>
                </w:p>
              </w:tc>
              <w:tc>
                <w:tcPr>
                  <w:tcW w:w="1659" w:type="dxa"/>
                  <w:vAlign w:val="bottom"/>
                </w:tcPr>
                <w:p w14:paraId="0F3F1325" w14:textId="77777777" w:rsidR="008F426D" w:rsidRPr="00CD1E8B" w:rsidRDefault="008F426D" w:rsidP="008F426D">
                  <w:pPr>
                    <w:pStyle w:val="ruller4"/>
                    <w:bidi/>
                    <w:spacing w:before="0" w:beforeAutospacing="0" w:after="120" w:afterAutospacing="0" w:line="360" w:lineRule="auto"/>
                    <w:jc w:val="center"/>
                    <w:rPr>
                      <w:rFonts w:ascii="David" w:hAnsi="David" w:cs="David"/>
                      <w:b/>
                      <w:bCs/>
                      <w:rtl/>
                    </w:rPr>
                  </w:pPr>
                  <w:r w:rsidRPr="00CD1E8B">
                    <w:rPr>
                      <w:rFonts w:ascii="David" w:hAnsi="David" w:cs="David"/>
                      <w:b/>
                      <w:bCs/>
                      <w:rtl/>
                    </w:rPr>
                    <w:t>הסדר פשרה לאחר אישור תובענה</w:t>
                  </w:r>
                  <w:r>
                    <w:rPr>
                      <w:rFonts w:ascii="David" w:hAnsi="David" w:cs="David" w:hint="cs"/>
                      <w:b/>
                      <w:bCs/>
                      <w:rtl/>
                    </w:rPr>
                    <w:t xml:space="preserve"> ייצוגית</w:t>
                  </w:r>
                </w:p>
              </w:tc>
              <w:tc>
                <w:tcPr>
                  <w:tcW w:w="1659" w:type="dxa"/>
                  <w:vAlign w:val="bottom"/>
                </w:tcPr>
                <w:p w14:paraId="01CE3548" w14:textId="77777777" w:rsidR="008F426D" w:rsidRPr="00CD1E8B" w:rsidRDefault="008F426D" w:rsidP="008F426D">
                  <w:pPr>
                    <w:pStyle w:val="ruller4"/>
                    <w:bidi/>
                    <w:spacing w:before="0" w:beforeAutospacing="0" w:after="120" w:afterAutospacing="0" w:line="360" w:lineRule="auto"/>
                    <w:jc w:val="center"/>
                    <w:rPr>
                      <w:rFonts w:ascii="David" w:hAnsi="David" w:cs="David"/>
                      <w:b/>
                      <w:bCs/>
                      <w:rtl/>
                    </w:rPr>
                  </w:pPr>
                  <w:r w:rsidRPr="00CD1E8B">
                    <w:rPr>
                      <w:rFonts w:ascii="David" w:hAnsi="David" w:cs="David"/>
                      <w:b/>
                      <w:bCs/>
                      <w:rtl/>
                    </w:rPr>
                    <w:t>הסדר פשרה לפני אישור תובענה</w:t>
                  </w:r>
                  <w:r>
                    <w:rPr>
                      <w:rFonts w:ascii="David" w:hAnsi="David" w:cs="David" w:hint="cs"/>
                      <w:b/>
                      <w:bCs/>
                      <w:rtl/>
                    </w:rPr>
                    <w:t xml:space="preserve"> ייצוגית</w:t>
                  </w:r>
                </w:p>
              </w:tc>
            </w:tr>
            <w:tr w:rsidR="008F426D" w:rsidRPr="00CD1E8B" w14:paraId="52FCBA1B" w14:textId="77777777" w:rsidTr="00486641">
              <w:tc>
                <w:tcPr>
                  <w:tcW w:w="1921" w:type="dxa"/>
                  <w:vAlign w:val="center"/>
                </w:tcPr>
                <w:p w14:paraId="22669CFA"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עד 5 מיליון ₪</w:t>
                  </w:r>
                </w:p>
              </w:tc>
              <w:tc>
                <w:tcPr>
                  <w:tcW w:w="1397" w:type="dxa"/>
                  <w:vAlign w:val="center"/>
                </w:tcPr>
                <w:p w14:paraId="55A0E1C2"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23%</w:t>
                  </w:r>
                </w:p>
              </w:tc>
              <w:tc>
                <w:tcPr>
                  <w:tcW w:w="1659" w:type="dxa"/>
                  <w:vAlign w:val="center"/>
                </w:tcPr>
                <w:p w14:paraId="1801BF7F"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18%</w:t>
                  </w:r>
                </w:p>
              </w:tc>
              <w:tc>
                <w:tcPr>
                  <w:tcW w:w="1659" w:type="dxa"/>
                  <w:vAlign w:val="center"/>
                </w:tcPr>
                <w:p w14:paraId="161C33D2"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13%</w:t>
                  </w:r>
                </w:p>
              </w:tc>
            </w:tr>
            <w:tr w:rsidR="008F426D" w:rsidRPr="00CD1E8B" w14:paraId="40F8C108" w14:textId="77777777" w:rsidTr="00486641">
              <w:tc>
                <w:tcPr>
                  <w:tcW w:w="1921" w:type="dxa"/>
                  <w:vAlign w:val="center"/>
                </w:tcPr>
                <w:p w14:paraId="447C8E33"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5-10 מיליון ₪</w:t>
                  </w:r>
                </w:p>
              </w:tc>
              <w:tc>
                <w:tcPr>
                  <w:tcW w:w="1397" w:type="dxa"/>
                  <w:vAlign w:val="center"/>
                </w:tcPr>
                <w:p w14:paraId="7968260C"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18%</w:t>
                  </w:r>
                </w:p>
              </w:tc>
              <w:tc>
                <w:tcPr>
                  <w:tcW w:w="1659" w:type="dxa"/>
                  <w:vAlign w:val="center"/>
                </w:tcPr>
                <w:p w14:paraId="2B888D4D"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13%</w:t>
                  </w:r>
                </w:p>
              </w:tc>
              <w:tc>
                <w:tcPr>
                  <w:tcW w:w="1659" w:type="dxa"/>
                  <w:vAlign w:val="center"/>
                </w:tcPr>
                <w:p w14:paraId="30A18F07"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10%</w:t>
                  </w:r>
                </w:p>
              </w:tc>
            </w:tr>
            <w:tr w:rsidR="008F426D" w:rsidRPr="00CD1E8B" w14:paraId="7C2A3C22" w14:textId="77777777" w:rsidTr="00486641">
              <w:tc>
                <w:tcPr>
                  <w:tcW w:w="1921" w:type="dxa"/>
                  <w:vAlign w:val="center"/>
                </w:tcPr>
                <w:p w14:paraId="2212204E"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 xml:space="preserve">10-30 מיליון ₪ </w:t>
                  </w:r>
                </w:p>
              </w:tc>
              <w:tc>
                <w:tcPr>
                  <w:tcW w:w="1397" w:type="dxa"/>
                  <w:vAlign w:val="center"/>
                </w:tcPr>
                <w:p w14:paraId="2C6E265B"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13%</w:t>
                  </w:r>
                </w:p>
              </w:tc>
              <w:tc>
                <w:tcPr>
                  <w:tcW w:w="1659" w:type="dxa"/>
                  <w:vAlign w:val="center"/>
                </w:tcPr>
                <w:p w14:paraId="18C2389E"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10%</w:t>
                  </w:r>
                </w:p>
              </w:tc>
              <w:tc>
                <w:tcPr>
                  <w:tcW w:w="1659" w:type="dxa"/>
                  <w:vAlign w:val="center"/>
                </w:tcPr>
                <w:p w14:paraId="6E02CAC8"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8%</w:t>
                  </w:r>
                </w:p>
              </w:tc>
            </w:tr>
            <w:tr w:rsidR="008F426D" w:rsidRPr="00CD1E8B" w14:paraId="62339FA3" w14:textId="77777777" w:rsidTr="00486641">
              <w:tc>
                <w:tcPr>
                  <w:tcW w:w="1921" w:type="dxa"/>
                  <w:vAlign w:val="center"/>
                </w:tcPr>
                <w:p w14:paraId="6D2C52E1"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30-60 מיליון ₪</w:t>
                  </w:r>
                </w:p>
              </w:tc>
              <w:tc>
                <w:tcPr>
                  <w:tcW w:w="1397" w:type="dxa"/>
                  <w:vAlign w:val="center"/>
                </w:tcPr>
                <w:p w14:paraId="58746D69"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10%</w:t>
                  </w:r>
                </w:p>
              </w:tc>
              <w:tc>
                <w:tcPr>
                  <w:tcW w:w="1659" w:type="dxa"/>
                  <w:vAlign w:val="center"/>
                </w:tcPr>
                <w:p w14:paraId="05962FBD"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8%</w:t>
                  </w:r>
                </w:p>
              </w:tc>
              <w:tc>
                <w:tcPr>
                  <w:tcW w:w="1659" w:type="dxa"/>
                  <w:vAlign w:val="center"/>
                </w:tcPr>
                <w:p w14:paraId="6DB209EC"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5%</w:t>
                  </w:r>
                </w:p>
              </w:tc>
            </w:tr>
            <w:tr w:rsidR="008F426D" w:rsidRPr="00CD1E8B" w14:paraId="538C3876" w14:textId="77777777" w:rsidTr="00486641">
              <w:tc>
                <w:tcPr>
                  <w:tcW w:w="1921" w:type="dxa"/>
                  <w:vAlign w:val="center"/>
                </w:tcPr>
                <w:p w14:paraId="7180289F"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 xml:space="preserve">60-100 מיליון ₪ </w:t>
                  </w:r>
                </w:p>
              </w:tc>
              <w:tc>
                <w:tcPr>
                  <w:tcW w:w="1397" w:type="dxa"/>
                  <w:vAlign w:val="center"/>
                </w:tcPr>
                <w:p w14:paraId="5CA357FE"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8%</w:t>
                  </w:r>
                </w:p>
              </w:tc>
              <w:tc>
                <w:tcPr>
                  <w:tcW w:w="1659" w:type="dxa"/>
                  <w:vAlign w:val="center"/>
                </w:tcPr>
                <w:p w14:paraId="01738B69"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5%</w:t>
                  </w:r>
                </w:p>
              </w:tc>
              <w:tc>
                <w:tcPr>
                  <w:tcW w:w="1659" w:type="dxa"/>
                  <w:vAlign w:val="center"/>
                </w:tcPr>
                <w:p w14:paraId="48B7F058"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3%</w:t>
                  </w:r>
                </w:p>
              </w:tc>
            </w:tr>
            <w:tr w:rsidR="008F426D" w:rsidRPr="00CD1E8B" w14:paraId="694380C8" w14:textId="77777777" w:rsidTr="00486641">
              <w:tc>
                <w:tcPr>
                  <w:tcW w:w="1921" w:type="dxa"/>
                  <w:vAlign w:val="center"/>
                </w:tcPr>
                <w:p w14:paraId="455ED9AA"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sidRPr="00CD1E8B">
                    <w:rPr>
                      <w:rFonts w:ascii="David" w:hAnsi="David" w:cs="David"/>
                      <w:rtl/>
                    </w:rPr>
                    <w:t xml:space="preserve">100 מיליון ₪ ומעלה </w:t>
                  </w:r>
                </w:p>
              </w:tc>
              <w:tc>
                <w:tcPr>
                  <w:tcW w:w="1397" w:type="dxa"/>
                  <w:vAlign w:val="center"/>
                </w:tcPr>
                <w:p w14:paraId="62D11D95"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2%</w:t>
                  </w:r>
                </w:p>
              </w:tc>
              <w:tc>
                <w:tcPr>
                  <w:tcW w:w="1659" w:type="dxa"/>
                  <w:vAlign w:val="center"/>
                </w:tcPr>
                <w:p w14:paraId="0B68BA45"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2%</w:t>
                  </w:r>
                </w:p>
              </w:tc>
              <w:tc>
                <w:tcPr>
                  <w:tcW w:w="1659" w:type="dxa"/>
                  <w:vAlign w:val="center"/>
                </w:tcPr>
                <w:p w14:paraId="4BBE9413" w14:textId="77777777" w:rsidR="008F426D" w:rsidRPr="00CD1E8B" w:rsidRDefault="008F426D" w:rsidP="008F426D">
                  <w:pPr>
                    <w:pStyle w:val="ruller4"/>
                    <w:bidi/>
                    <w:spacing w:before="0" w:beforeAutospacing="0" w:after="120" w:afterAutospacing="0" w:line="360" w:lineRule="auto"/>
                    <w:jc w:val="center"/>
                    <w:rPr>
                      <w:rFonts w:ascii="David" w:hAnsi="David" w:cs="David"/>
                      <w:rtl/>
                    </w:rPr>
                  </w:pPr>
                  <w:r>
                    <w:rPr>
                      <w:rFonts w:ascii="David" w:hAnsi="David" w:cs="David" w:hint="cs"/>
                      <w:rtl/>
                    </w:rPr>
                    <w:t>2%</w:t>
                  </w:r>
                </w:p>
              </w:tc>
            </w:tr>
          </w:tbl>
          <w:p w14:paraId="4580EB32" w14:textId="4CD7940B" w:rsidR="008F426D" w:rsidRDefault="008F426D" w:rsidP="008F426D">
            <w:pPr>
              <w:pStyle w:val="TableBlock"/>
              <w:tabs>
                <w:tab w:val="clear" w:pos="624"/>
              </w:tabs>
              <w:rPr>
                <w:rtl/>
              </w:rPr>
            </w:pPr>
          </w:p>
        </w:tc>
      </w:tr>
      <w:tr w:rsidR="008F426D" w14:paraId="64357644" w14:textId="77777777">
        <w:trPr>
          <w:cantSplit/>
          <w:trHeight w:val="60"/>
        </w:trPr>
        <w:tc>
          <w:tcPr>
            <w:tcW w:w="1871" w:type="dxa"/>
          </w:tcPr>
          <w:p w14:paraId="2836C542" w14:textId="77777777" w:rsidR="008F426D" w:rsidRDefault="008F426D" w:rsidP="008F426D">
            <w:pPr>
              <w:pStyle w:val="TableSideHeading"/>
              <w:ind w:left="408"/>
              <w:rPr>
                <w:sz w:val="14"/>
                <w:szCs w:val="20"/>
                <w:highlight w:val="cyan"/>
                <w:rtl/>
              </w:rPr>
            </w:pPr>
          </w:p>
        </w:tc>
        <w:tc>
          <w:tcPr>
            <w:tcW w:w="624" w:type="dxa"/>
          </w:tcPr>
          <w:p w14:paraId="583A2C59" w14:textId="77777777" w:rsidR="008F426D" w:rsidRDefault="008F426D" w:rsidP="008F426D">
            <w:pPr>
              <w:pStyle w:val="TableText"/>
            </w:pPr>
          </w:p>
        </w:tc>
        <w:tc>
          <w:tcPr>
            <w:tcW w:w="7146" w:type="dxa"/>
            <w:gridSpan w:val="6"/>
          </w:tcPr>
          <w:p w14:paraId="4AC43516" w14:textId="12FB1060" w:rsidR="008F426D" w:rsidRDefault="008F426D" w:rsidP="00C57EB2">
            <w:pPr>
              <w:pStyle w:val="TableBlock"/>
              <w:numPr>
                <w:ilvl w:val="0"/>
                <w:numId w:val="24"/>
              </w:numPr>
              <w:tabs>
                <w:tab w:val="left" w:pos="624"/>
              </w:tabs>
            </w:pPr>
            <w:r>
              <w:rPr>
                <w:rFonts w:hint="cs"/>
                <w:rtl/>
              </w:rPr>
              <w:t xml:space="preserve">סטייה של </w:t>
            </w:r>
            <w:r w:rsidR="00802A1E">
              <w:rPr>
                <w:rFonts w:hint="cs"/>
                <w:rtl/>
              </w:rPr>
              <w:t xml:space="preserve">עד </w:t>
            </w:r>
            <w:r>
              <w:rPr>
                <w:rFonts w:hint="cs"/>
                <w:rtl/>
              </w:rPr>
              <w:t>שני אחוזים.</w:t>
            </w:r>
          </w:p>
        </w:tc>
      </w:tr>
      <w:bookmarkEnd w:id="3"/>
    </w:tbl>
    <w:p w14:paraId="2945DB57" w14:textId="7948D9AF" w:rsidR="00914A2F" w:rsidRDefault="00914A2F" w:rsidP="00722C14">
      <w:pPr>
        <w:rPr>
          <w:rtl/>
        </w:rPr>
      </w:pPr>
    </w:p>
    <w:p w14:paraId="7AD40110" w14:textId="7969CEEF" w:rsidR="00B5652B" w:rsidRDefault="00B5652B" w:rsidP="00722C14">
      <w:pPr>
        <w:rPr>
          <w:rtl/>
        </w:rPr>
      </w:pPr>
    </w:p>
    <w:p w14:paraId="77FC6627" w14:textId="77777777" w:rsidR="00914A2F" w:rsidRDefault="00914A2F" w:rsidP="00722C14">
      <w:pPr>
        <w:pStyle w:val="HeadDivreiHesber"/>
        <w:rPr>
          <w:rtl/>
        </w:rPr>
      </w:pPr>
      <w:r>
        <w:rPr>
          <w:rtl/>
        </w:rPr>
        <w:t>דברי הסבר</w:t>
      </w:r>
    </w:p>
    <w:p w14:paraId="305FA110" w14:textId="14715742" w:rsidR="00C90E2A" w:rsidRPr="00C90E2A" w:rsidRDefault="00CB494B" w:rsidP="00C90E2A">
      <w:pPr>
        <w:pStyle w:val="Hesber1st"/>
        <w:tabs>
          <w:tab w:val="clear" w:pos="680"/>
        </w:tabs>
        <w:rPr>
          <w:rtl/>
        </w:rPr>
      </w:pPr>
      <w:r w:rsidRPr="00C90E2A">
        <w:rPr>
          <w:rFonts w:hint="cs"/>
          <w:rtl/>
        </w:rPr>
        <w:t>תיקון חקיקה זה מטרתו ליישם את המלצות הצוות הבין-משרדי לבחינת ההסדרים בחוק תובענות ייצוגיות, התשס"ו-2006 (להלן בהתאמה: "הצוות</w:t>
      </w:r>
      <w:r w:rsidR="00C90E2A" w:rsidRPr="00C90E2A">
        <w:rPr>
          <w:rFonts w:hint="cs"/>
          <w:rtl/>
        </w:rPr>
        <w:t xml:space="preserve"> הבין-משרדי</w:t>
      </w:r>
      <w:r w:rsidRPr="00C90E2A">
        <w:rPr>
          <w:rFonts w:hint="cs"/>
          <w:rtl/>
        </w:rPr>
        <w:t>" ו- "חוק תובענות ייצוגיות"</w:t>
      </w:r>
      <w:r w:rsidR="00953F22">
        <w:rPr>
          <w:rFonts w:hint="cs"/>
          <w:rtl/>
        </w:rPr>
        <w:t xml:space="preserve"> או "החוק"</w:t>
      </w:r>
      <w:r w:rsidRPr="00C90E2A">
        <w:rPr>
          <w:rFonts w:hint="cs"/>
          <w:rtl/>
        </w:rPr>
        <w:t>)</w:t>
      </w:r>
      <w:r w:rsidR="00953F22">
        <w:rPr>
          <w:rFonts w:hint="cs"/>
          <w:rtl/>
        </w:rPr>
        <w:t xml:space="preserve"> שפורסמו להערות הציבור בחודש אפריל 2023</w:t>
      </w:r>
      <w:r w:rsidRPr="00C90E2A">
        <w:rPr>
          <w:rFonts w:hint="cs"/>
          <w:rtl/>
        </w:rPr>
        <w:t xml:space="preserve">. </w:t>
      </w:r>
      <w:r w:rsidRPr="00C90E2A">
        <w:rPr>
          <w:rtl/>
        </w:rPr>
        <w:t>הצוות הוקם</w:t>
      </w:r>
      <w:r w:rsidRPr="00C90E2A">
        <w:rPr>
          <w:rFonts w:hint="cs"/>
          <w:rtl/>
        </w:rPr>
        <w:t xml:space="preserve"> על מנת לבחון בצורה מקיפה </w:t>
      </w:r>
      <w:r w:rsidRPr="00C90E2A">
        <w:rPr>
          <w:rtl/>
        </w:rPr>
        <w:t xml:space="preserve">את ההתפתחות </w:t>
      </w:r>
      <w:r w:rsidRPr="00C90E2A">
        <w:rPr>
          <w:rtl/>
        </w:rPr>
        <w:lastRenderedPageBreak/>
        <w:t>של כלי התובענה הייצוגית בישראל ואת התועלות שלו למשק, יחד עם האתגרים שהוא מציב, הן בפני הצדדים והן בפני הציבור וזאת לאור החשיבות הרבה הטמונה בכלי התובענה הייצוגית והרצון לעודד תובענות ייצוגיות ראויות.</w:t>
      </w:r>
      <w:r w:rsidRPr="00C90E2A">
        <w:rPr>
          <w:rFonts w:hint="cs"/>
          <w:rtl/>
        </w:rPr>
        <w:t xml:space="preserve"> במסגרת </w:t>
      </w:r>
      <w:r w:rsidRPr="00C90E2A">
        <w:rPr>
          <w:rtl/>
        </w:rPr>
        <w:t>עבודת הצוות</w:t>
      </w:r>
      <w:r w:rsidR="00C90E2A" w:rsidRPr="00C90E2A">
        <w:rPr>
          <w:rFonts w:hint="cs"/>
          <w:rtl/>
        </w:rPr>
        <w:t xml:space="preserve"> הבין-משרדי ובטרם גובשו המלצות הצוות</w:t>
      </w:r>
      <w:r w:rsidRPr="00C90E2A">
        <w:rPr>
          <w:rtl/>
        </w:rPr>
        <w:t xml:space="preserve"> פורסם קול קורא לקבלת התייחסות הציבור לתיקונים הנדרשים בחוק</w:t>
      </w:r>
      <w:r w:rsidR="00C90E2A" w:rsidRPr="00C90E2A">
        <w:rPr>
          <w:rFonts w:hint="cs"/>
          <w:rtl/>
        </w:rPr>
        <w:t xml:space="preserve"> וחברי הצוות הבין-משרדי נפגשו עם גורמים </w:t>
      </w:r>
      <w:r w:rsidR="00953F22">
        <w:rPr>
          <w:rFonts w:hint="cs"/>
          <w:rtl/>
        </w:rPr>
        <w:t xml:space="preserve">רבים </w:t>
      </w:r>
      <w:r w:rsidR="00C90E2A" w:rsidRPr="00C90E2A">
        <w:rPr>
          <w:rFonts w:hint="cs"/>
          <w:rtl/>
        </w:rPr>
        <w:t xml:space="preserve">אשר להם נקודות מבט מגוונות על החוק. זאת, לצורך שקלול האינטרסים השונים שעל הפרק ועל מנת </w:t>
      </w:r>
      <w:r w:rsidR="008341C1">
        <w:rPr>
          <w:rFonts w:hint="cs"/>
          <w:rtl/>
        </w:rPr>
        <w:t>להביא לאיזון נכון</w:t>
      </w:r>
      <w:r w:rsidR="00C90E2A" w:rsidRPr="00C90E2A">
        <w:rPr>
          <w:rFonts w:hint="cs"/>
          <w:rtl/>
        </w:rPr>
        <w:t xml:space="preserve">. </w:t>
      </w:r>
    </w:p>
    <w:p w14:paraId="2E077AB2" w14:textId="5B2D4422" w:rsidR="00CB494B" w:rsidRPr="00C90E2A" w:rsidRDefault="00C90E2A" w:rsidP="005E5DC1">
      <w:pPr>
        <w:pStyle w:val="Hesber1st"/>
        <w:tabs>
          <w:tab w:val="clear" w:pos="680"/>
        </w:tabs>
        <w:rPr>
          <w:rtl/>
        </w:rPr>
      </w:pPr>
      <w:r w:rsidRPr="00C90E2A">
        <w:rPr>
          <w:rFonts w:hint="cs"/>
          <w:rtl/>
        </w:rPr>
        <w:t xml:space="preserve">דו"ח הצוות הבין-משרדי דן בקשיים המרכזיים הקיימים בתחום התובענות הייצוגיות, כאשר מניתוח הממצאים </w:t>
      </w:r>
      <w:r w:rsidR="00B35FE4" w:rsidRPr="00C90E2A">
        <w:rPr>
          <w:rFonts w:hint="cs"/>
          <w:rtl/>
        </w:rPr>
        <w:t xml:space="preserve">עלה </w:t>
      </w:r>
      <w:r w:rsidR="00CB494B" w:rsidRPr="00C90E2A">
        <w:rPr>
          <w:rtl/>
        </w:rPr>
        <w:t xml:space="preserve">כי אחת הבעיות המרכזיות הקיימות בתחום היא בעיית </w:t>
      </w:r>
      <w:r w:rsidRPr="00C90E2A">
        <w:rPr>
          <w:rFonts w:hint="cs"/>
          <w:rtl/>
        </w:rPr>
        <w:t>ת</w:t>
      </w:r>
      <w:r w:rsidR="00CB494B" w:rsidRPr="00C90E2A">
        <w:rPr>
          <w:rtl/>
        </w:rPr>
        <w:t xml:space="preserve">ביעות הסרק. בעיה זו מתבטאת בהגשת תביעות חסרות בסיס עובדתי ומשפטי וזאת לאור האפשרות הקיימת במסגרת תובענה ייצוגית לרווח מהיר הנובע מעצם הגשת בקשה לאישור תובענה ייצוגית. </w:t>
      </w:r>
      <w:r w:rsidR="00953F22">
        <w:rPr>
          <w:rFonts w:hint="cs"/>
          <w:rtl/>
        </w:rPr>
        <w:t xml:space="preserve">בנוסף, קיימת תופעה של הגשת תביעות משוכפלות רבות על הפרת הוראות רגולציה פשוטה לתיקון כאשר במקרים רבים לא </w:t>
      </w:r>
      <w:r w:rsidR="008341C1">
        <w:rPr>
          <w:rFonts w:hint="cs"/>
          <w:rtl/>
        </w:rPr>
        <w:t xml:space="preserve">קיים </w:t>
      </w:r>
      <w:r w:rsidR="00953F22">
        <w:rPr>
          <w:rFonts w:hint="cs"/>
          <w:rtl/>
        </w:rPr>
        <w:t xml:space="preserve">בצידה נזק </w:t>
      </w:r>
      <w:r w:rsidR="00FB49D7">
        <w:rPr>
          <w:rFonts w:hint="cs"/>
          <w:rtl/>
        </w:rPr>
        <w:t xml:space="preserve">משמעותי </w:t>
      </w:r>
      <w:r w:rsidR="00953F22">
        <w:rPr>
          <w:rFonts w:hint="cs"/>
          <w:rtl/>
        </w:rPr>
        <w:t xml:space="preserve">לציבור. </w:t>
      </w:r>
      <w:r w:rsidRPr="00C90E2A">
        <w:rPr>
          <w:rFonts w:hint="cs"/>
          <w:rtl/>
        </w:rPr>
        <w:t>לצד זאת, קיימת תופעה של ריבוי בקשות להסתלקות בתחום.</w:t>
      </w:r>
      <w:r w:rsidR="000418F2">
        <w:rPr>
          <w:rFonts w:hint="cs"/>
          <w:rtl/>
        </w:rPr>
        <w:t xml:space="preserve"> על תופעות אלו ניתן ללמוד, בין היתר מכמות התובענות הייצוגיות שאינן מסתיימות בפיצוי לציבור.</w:t>
      </w:r>
      <w:r w:rsidR="005E5DC1">
        <w:rPr>
          <w:rFonts w:hint="cs"/>
          <w:rtl/>
        </w:rPr>
        <w:t xml:space="preserve"> רק בכ</w:t>
      </w:r>
      <w:r w:rsidR="00923EB4">
        <w:rPr>
          <w:rFonts w:hint="cs"/>
          <w:rtl/>
        </w:rPr>
        <w:t>-</w:t>
      </w:r>
      <w:r w:rsidR="005E5DC1">
        <w:rPr>
          <w:rFonts w:hint="cs"/>
          <w:rtl/>
        </w:rPr>
        <w:t xml:space="preserve">22% מההחלטות השיפוטיות </w:t>
      </w:r>
      <w:r w:rsidR="005E5DC1" w:rsidRPr="005E5DC1">
        <w:rPr>
          <w:rtl/>
        </w:rPr>
        <w:t xml:space="preserve">התוצאה </w:t>
      </w:r>
      <w:r w:rsidR="00FB49D7">
        <w:rPr>
          <w:rFonts w:hint="cs"/>
          <w:rtl/>
        </w:rPr>
        <w:t>היא</w:t>
      </w:r>
      <w:r w:rsidR="00FB49D7" w:rsidRPr="005E5DC1">
        <w:rPr>
          <w:rtl/>
        </w:rPr>
        <w:t xml:space="preserve"> </w:t>
      </w:r>
      <w:r w:rsidR="005E5DC1" w:rsidRPr="005E5DC1">
        <w:rPr>
          <w:rtl/>
        </w:rPr>
        <w:t>קבלת התובענה או סיומה בתוצאה המיטיבה עם הקבוצה המיוצגת (בפשרה, חדילה, או קבלת התובענה). בכל יתר התיקים שהסתיימו, התובענה הסתיימה בהסתלקות התובע, מחיקה או דחיית הבקשה לאישור, דחיית התובענה הייצוגית וסילוק על הסף.</w:t>
      </w:r>
      <w:r w:rsidR="005E5DC1">
        <w:rPr>
          <w:rFonts w:hint="cs"/>
          <w:rtl/>
        </w:rPr>
        <w:t xml:space="preserve"> </w:t>
      </w:r>
      <w:r w:rsidR="00CB494B" w:rsidRPr="00C90E2A">
        <w:rPr>
          <w:rtl/>
        </w:rPr>
        <w:t>בעיה מרכזית נוספת שעלתה</w:t>
      </w:r>
      <w:r w:rsidR="008341C1">
        <w:rPr>
          <w:rFonts w:hint="cs"/>
          <w:rtl/>
        </w:rPr>
        <w:t>,</w:t>
      </w:r>
      <w:r w:rsidR="00CB494B" w:rsidRPr="00C90E2A">
        <w:rPr>
          <w:rtl/>
        </w:rPr>
        <w:t xml:space="preserve"> בניתוח הממצאים</w:t>
      </w:r>
      <w:r w:rsidRPr="00C90E2A">
        <w:rPr>
          <w:rFonts w:hint="cs"/>
          <w:rtl/>
        </w:rPr>
        <w:t xml:space="preserve"> במסגרת דו"ח הצוות הבין-משרדי</w:t>
      </w:r>
      <w:r w:rsidR="008341C1">
        <w:rPr>
          <w:rFonts w:hint="cs"/>
          <w:rtl/>
        </w:rPr>
        <w:t>,</w:t>
      </w:r>
      <w:r w:rsidR="00CB494B" w:rsidRPr="00C90E2A">
        <w:rPr>
          <w:rtl/>
        </w:rPr>
        <w:t xml:space="preserve"> היא </w:t>
      </w:r>
      <w:r w:rsidR="008341C1">
        <w:rPr>
          <w:rFonts w:hint="cs"/>
          <w:rtl/>
        </w:rPr>
        <w:t>"</w:t>
      </w:r>
      <w:r w:rsidR="00CB494B" w:rsidRPr="00C90E2A">
        <w:rPr>
          <w:rtl/>
        </w:rPr>
        <w:t>בעיית הנצי</w:t>
      </w:r>
      <w:r w:rsidRPr="00C90E2A">
        <w:rPr>
          <w:rFonts w:hint="cs"/>
          <w:rtl/>
        </w:rPr>
        <w:t>ג</w:t>
      </w:r>
      <w:r w:rsidR="008341C1">
        <w:rPr>
          <w:rFonts w:hint="cs"/>
          <w:rtl/>
        </w:rPr>
        <w:t>"</w:t>
      </w:r>
      <w:r w:rsidRPr="00C90E2A">
        <w:rPr>
          <w:rFonts w:hint="cs"/>
          <w:rtl/>
        </w:rPr>
        <w:t xml:space="preserve"> אשר נובעת מכך</w:t>
      </w:r>
      <w:r w:rsidR="00CB494B" w:rsidRPr="00C90E2A">
        <w:rPr>
          <w:rtl/>
        </w:rPr>
        <w:t xml:space="preserve"> </w:t>
      </w:r>
      <w:r w:rsidRPr="00C90E2A">
        <w:rPr>
          <w:rFonts w:hint="cs"/>
          <w:rtl/>
        </w:rPr>
        <w:t>ש</w:t>
      </w:r>
      <w:r w:rsidR="00CB494B" w:rsidRPr="00C90E2A">
        <w:rPr>
          <w:rtl/>
        </w:rPr>
        <w:t>כלי התובענה הייצוגית טומן בחובו, באופן אינהרנטי, בעיית ייצוג וזאת לאור המבנה של התובענה הייצוגית אשר מנוהלת על ידי נציגים</w:t>
      </w:r>
      <w:r w:rsidR="008341C1">
        <w:rPr>
          <w:rFonts w:hint="cs"/>
          <w:rtl/>
        </w:rPr>
        <w:t xml:space="preserve"> של הקבוצה</w:t>
      </w:r>
      <w:r w:rsidR="00CB494B" w:rsidRPr="00C90E2A">
        <w:rPr>
          <w:rtl/>
        </w:rPr>
        <w:t xml:space="preserve">, כאשר חברי הקבוצה אינם לוקחים חלק פעיל בניהול התובענה. </w:t>
      </w:r>
    </w:p>
    <w:p w14:paraId="4B8493FE" w14:textId="77777777" w:rsidR="008341C1" w:rsidRDefault="00CB494B" w:rsidP="00C90E2A">
      <w:pPr>
        <w:pStyle w:val="Hesber1st"/>
        <w:tabs>
          <w:tab w:val="clear" w:pos="680"/>
        </w:tabs>
        <w:rPr>
          <w:rtl/>
        </w:rPr>
      </w:pPr>
      <w:r w:rsidRPr="00C90E2A">
        <w:rPr>
          <w:rtl/>
        </w:rPr>
        <w:t xml:space="preserve">במסגרת המלצותיו, ביקש הצוות לתת מענה לקשיים אלו. </w:t>
      </w:r>
    </w:p>
    <w:p w14:paraId="6FFAD7E7" w14:textId="729BBF4A" w:rsidR="00CB494B" w:rsidRDefault="00B35FE4" w:rsidP="00C90E2A">
      <w:pPr>
        <w:pStyle w:val="Hesber1st"/>
        <w:tabs>
          <w:tab w:val="clear" w:pos="680"/>
        </w:tabs>
        <w:rPr>
          <w:rtl/>
        </w:rPr>
      </w:pPr>
      <w:r w:rsidRPr="00C90E2A">
        <w:rPr>
          <w:rFonts w:hint="cs"/>
          <w:rtl/>
        </w:rPr>
        <w:t>בנוסף, הצוות עסק גם</w:t>
      </w:r>
      <w:r w:rsidR="005E5DC1">
        <w:rPr>
          <w:rFonts w:hint="cs"/>
          <w:rtl/>
        </w:rPr>
        <w:t>, בין היתר,</w:t>
      </w:r>
      <w:r w:rsidRPr="00C90E2A">
        <w:rPr>
          <w:rFonts w:hint="cs"/>
          <w:rtl/>
        </w:rPr>
        <w:t xml:space="preserve"> בסוגיית הגישור בתובענות הייצוגיות, </w:t>
      </w:r>
      <w:r w:rsidR="00CB494B" w:rsidRPr="00C90E2A">
        <w:rPr>
          <w:rtl/>
        </w:rPr>
        <w:t>מערכת היחסים המיוחדים שבין התובע הייצוגי ובא כוחו, הגורמים הרשאים להגיש תובענות ייצוגיות והעילות להגשתן ו</w:t>
      </w:r>
      <w:r w:rsidR="00CB494B" w:rsidRPr="00420681">
        <w:rPr>
          <w:rtl/>
        </w:rPr>
        <w:t>תובענות ייצוגיות המוגשות נגד רשות.</w:t>
      </w:r>
    </w:p>
    <w:p w14:paraId="7E851C64" w14:textId="5B583750" w:rsidR="00C90E2A" w:rsidRDefault="00C90E2A" w:rsidP="00C90E2A">
      <w:pPr>
        <w:pStyle w:val="Hesber1st"/>
        <w:tabs>
          <w:tab w:val="clear" w:pos="680"/>
        </w:tabs>
        <w:rPr>
          <w:rtl/>
        </w:rPr>
      </w:pPr>
      <w:r>
        <w:rPr>
          <w:rFonts w:hint="cs"/>
          <w:rtl/>
        </w:rPr>
        <w:t>כמו כן, מוצעים במסגרת תיקון חקיקה זה תיקונים נוספים שהוצעו במסגרת הצעת חוק תובענות ייצוגיות (תיקון מס' 14), התשפ"ב-2021</w:t>
      </w:r>
      <w:r w:rsidR="00FC78D3">
        <w:rPr>
          <w:rFonts w:hint="cs"/>
          <w:rtl/>
        </w:rPr>
        <w:t xml:space="preserve"> שפורסמה בחודש דצמבר 2021</w:t>
      </w:r>
      <w:r>
        <w:rPr>
          <w:rFonts w:hint="cs"/>
          <w:rtl/>
        </w:rPr>
        <w:t>.</w:t>
      </w:r>
    </w:p>
    <w:p w14:paraId="050717F0" w14:textId="69101743" w:rsidR="00420681" w:rsidRDefault="00420681" w:rsidP="00420681">
      <w:pPr>
        <w:pStyle w:val="Hesber"/>
        <w:ind w:firstLine="0"/>
        <w:rPr>
          <w:b/>
          <w:bCs/>
          <w:rtl/>
        </w:rPr>
      </w:pPr>
    </w:p>
    <w:p w14:paraId="29594579" w14:textId="5EE64BB8" w:rsidR="00420681" w:rsidRDefault="00420681" w:rsidP="00420681">
      <w:pPr>
        <w:pStyle w:val="Hesber"/>
        <w:ind w:firstLine="0"/>
        <w:rPr>
          <w:b/>
          <w:bCs/>
          <w:rtl/>
        </w:rPr>
      </w:pPr>
      <w:r>
        <w:rPr>
          <w:rFonts w:hint="cs"/>
          <w:b/>
          <w:bCs/>
          <w:rtl/>
        </w:rPr>
        <w:t>סעיף 1</w:t>
      </w:r>
    </w:p>
    <w:p w14:paraId="1321AB0A" w14:textId="0D5C5CA8" w:rsidR="00F22C7C" w:rsidRDefault="00420681" w:rsidP="00420681">
      <w:pPr>
        <w:tabs>
          <w:tab w:val="left" w:pos="1020"/>
        </w:tabs>
        <w:autoSpaceDE w:val="0"/>
        <w:autoSpaceDN w:val="0"/>
        <w:adjustRightInd w:val="0"/>
        <w:snapToGrid w:val="0"/>
        <w:ind w:left="0"/>
        <w:contextualSpacing w:val="0"/>
        <w:textAlignment w:val="center"/>
        <w:rPr>
          <w:color w:val="000000"/>
          <w:sz w:val="26"/>
          <w:szCs w:val="26"/>
          <w:rtl/>
        </w:rPr>
      </w:pPr>
      <w:r w:rsidRPr="00EE0B04">
        <w:rPr>
          <w:color w:val="000000"/>
          <w:sz w:val="26"/>
          <w:szCs w:val="26"/>
          <w:rtl/>
        </w:rPr>
        <w:t>מוצע לתקן את סעיף 2 לחוק תובענות ייצוגיות, סעיף ההגדרות, ובו להוסיף הגדר</w:t>
      </w:r>
      <w:r>
        <w:rPr>
          <w:rFonts w:hint="cs"/>
          <w:color w:val="000000"/>
          <w:sz w:val="26"/>
          <w:szCs w:val="26"/>
          <w:rtl/>
        </w:rPr>
        <w:t>ות</w:t>
      </w:r>
      <w:r w:rsidR="00F22C7C">
        <w:rPr>
          <w:rFonts w:hint="cs"/>
          <w:color w:val="000000"/>
          <w:sz w:val="26"/>
          <w:szCs w:val="26"/>
          <w:rtl/>
        </w:rPr>
        <w:t xml:space="preserve"> של מונחים שונים שנעשה בהם שימוש בחוק המוצע. המונחים המהותיים לעניין הצעת חוק זו הם אלה:</w:t>
      </w:r>
    </w:p>
    <w:p w14:paraId="3D22CEB2" w14:textId="5C066C26" w:rsidR="001362DA" w:rsidRDefault="00E47DED" w:rsidP="001362DA">
      <w:pPr>
        <w:tabs>
          <w:tab w:val="left" w:pos="1020"/>
        </w:tabs>
        <w:autoSpaceDE w:val="0"/>
        <w:autoSpaceDN w:val="0"/>
        <w:adjustRightInd w:val="0"/>
        <w:snapToGrid w:val="0"/>
        <w:ind w:left="0"/>
        <w:contextualSpacing w:val="0"/>
        <w:textAlignment w:val="center"/>
        <w:rPr>
          <w:color w:val="000000"/>
          <w:sz w:val="26"/>
          <w:szCs w:val="26"/>
          <w:rtl/>
        </w:rPr>
      </w:pPr>
      <w:r w:rsidRPr="00036DD0">
        <w:rPr>
          <w:rFonts w:hint="cs"/>
          <w:b/>
          <w:bCs/>
          <w:color w:val="000000"/>
          <w:sz w:val="26"/>
          <w:szCs w:val="26"/>
          <w:rtl/>
        </w:rPr>
        <w:t>להגדרה "</w:t>
      </w:r>
      <w:r w:rsidR="001362DA" w:rsidRPr="00036DD0">
        <w:rPr>
          <w:rFonts w:hint="cs"/>
          <w:b/>
          <w:bCs/>
          <w:color w:val="000000"/>
          <w:sz w:val="26"/>
          <w:szCs w:val="26"/>
          <w:rtl/>
        </w:rPr>
        <w:t>ארגון"</w:t>
      </w:r>
      <w:r w:rsidR="001362DA">
        <w:rPr>
          <w:rFonts w:hint="cs"/>
          <w:color w:val="000000"/>
          <w:sz w:val="26"/>
          <w:szCs w:val="26"/>
          <w:rtl/>
        </w:rPr>
        <w:t xml:space="preserve"> </w:t>
      </w:r>
      <w:r w:rsidR="001362DA">
        <w:rPr>
          <w:color w:val="000000"/>
          <w:sz w:val="26"/>
          <w:szCs w:val="26"/>
          <w:rtl/>
        </w:rPr>
        <w:t>–</w:t>
      </w:r>
      <w:r w:rsidR="001362DA">
        <w:rPr>
          <w:rFonts w:hint="cs"/>
          <w:color w:val="000000"/>
          <w:sz w:val="26"/>
          <w:szCs w:val="26"/>
          <w:rtl/>
        </w:rPr>
        <w:t xml:space="preserve"> מוצע לקבוע כי על ארגון המבקש להגיש תובענות ייצוגיות להיות רשום גם ברשם העמותות או ההקדשות. </w:t>
      </w:r>
      <w:r w:rsidR="008341C1">
        <w:rPr>
          <w:rFonts w:hint="cs"/>
          <w:color w:val="000000"/>
          <w:sz w:val="26"/>
          <w:szCs w:val="26"/>
          <w:rtl/>
        </w:rPr>
        <w:t xml:space="preserve">ארגונים אלה כוללים עמותות, הקדשות וחברות לתועלת הציבור. </w:t>
      </w:r>
      <w:r w:rsidR="001362DA">
        <w:rPr>
          <w:rFonts w:hint="cs"/>
          <w:color w:val="000000"/>
          <w:sz w:val="26"/>
          <w:szCs w:val="26"/>
          <w:rtl/>
        </w:rPr>
        <w:t xml:space="preserve">בנוסף, </w:t>
      </w:r>
      <w:r w:rsidR="001362DA" w:rsidRPr="001362DA">
        <w:rPr>
          <w:rFonts w:hint="cs"/>
          <w:color w:val="000000"/>
          <w:sz w:val="26"/>
          <w:szCs w:val="26"/>
          <w:rtl/>
        </w:rPr>
        <w:t xml:space="preserve">מוצע </w:t>
      </w:r>
      <w:proofErr w:type="spellStart"/>
      <w:r w:rsidR="001362DA" w:rsidRPr="001362DA">
        <w:rPr>
          <w:rFonts w:hint="cs"/>
          <w:color w:val="000000"/>
          <w:sz w:val="26"/>
          <w:szCs w:val="26"/>
          <w:rtl/>
        </w:rPr>
        <w:t>להחריג</w:t>
      </w:r>
      <w:proofErr w:type="spellEnd"/>
      <w:r w:rsidR="001362DA" w:rsidRPr="001362DA">
        <w:rPr>
          <w:rFonts w:hint="cs"/>
          <w:color w:val="000000"/>
          <w:sz w:val="26"/>
          <w:szCs w:val="26"/>
          <w:rtl/>
        </w:rPr>
        <w:t xml:space="preserve"> ארגונים שפעולתם העיקרית היא הגשת תובענות ייצוגיות על מנת למנוע מצב שבו יוקמו ארגוני</w:t>
      </w:r>
      <w:r w:rsidR="008341C1">
        <w:rPr>
          <w:rFonts w:hint="cs"/>
          <w:color w:val="000000"/>
          <w:sz w:val="26"/>
          <w:szCs w:val="26"/>
          <w:rtl/>
        </w:rPr>
        <w:t>ם</w:t>
      </w:r>
      <w:r w:rsidR="001362DA" w:rsidRPr="001362DA">
        <w:rPr>
          <w:rFonts w:hint="cs"/>
          <w:color w:val="000000"/>
          <w:sz w:val="26"/>
          <w:szCs w:val="26"/>
          <w:rtl/>
        </w:rPr>
        <w:t xml:space="preserve"> </w:t>
      </w:r>
      <w:r w:rsidR="008341C1">
        <w:rPr>
          <w:rFonts w:hint="cs"/>
          <w:color w:val="000000"/>
          <w:sz w:val="26"/>
          <w:szCs w:val="26"/>
          <w:rtl/>
        </w:rPr>
        <w:t>רק</w:t>
      </w:r>
      <w:r w:rsidR="008341C1" w:rsidRPr="001362DA">
        <w:rPr>
          <w:rFonts w:hint="cs"/>
          <w:color w:val="000000"/>
          <w:sz w:val="26"/>
          <w:szCs w:val="26"/>
          <w:rtl/>
        </w:rPr>
        <w:t xml:space="preserve"> </w:t>
      </w:r>
      <w:r w:rsidR="001362DA" w:rsidRPr="001362DA">
        <w:rPr>
          <w:rFonts w:hint="cs"/>
          <w:color w:val="000000"/>
          <w:sz w:val="26"/>
          <w:szCs w:val="26"/>
          <w:rtl/>
        </w:rPr>
        <w:t>לצורך הגשת תובענות ייצוגיות ללא תובע בעל עילה אישית.</w:t>
      </w:r>
    </w:p>
    <w:p w14:paraId="05471DDB" w14:textId="7D6FC7CA" w:rsidR="004551A7" w:rsidRPr="004551A7" w:rsidRDefault="004551A7" w:rsidP="003610C5">
      <w:pPr>
        <w:tabs>
          <w:tab w:val="left" w:pos="1020"/>
        </w:tabs>
        <w:autoSpaceDE w:val="0"/>
        <w:autoSpaceDN w:val="0"/>
        <w:adjustRightInd w:val="0"/>
        <w:snapToGrid w:val="0"/>
        <w:ind w:left="0"/>
        <w:contextualSpacing w:val="0"/>
        <w:textAlignment w:val="center"/>
        <w:rPr>
          <w:color w:val="000000"/>
          <w:sz w:val="26"/>
          <w:szCs w:val="26"/>
          <w:rtl/>
        </w:rPr>
      </w:pPr>
      <w:r>
        <w:rPr>
          <w:rFonts w:hint="cs"/>
          <w:b/>
          <w:bCs/>
          <w:color w:val="000000"/>
          <w:sz w:val="26"/>
          <w:szCs w:val="26"/>
          <w:rtl/>
        </w:rPr>
        <w:t xml:space="preserve">להגדרות "גישור" ו-"מגשר" </w:t>
      </w:r>
      <w:r>
        <w:rPr>
          <w:b/>
          <w:bCs/>
          <w:color w:val="000000"/>
          <w:sz w:val="26"/>
          <w:szCs w:val="26"/>
          <w:rtl/>
        </w:rPr>
        <w:t>–</w:t>
      </w:r>
      <w:r>
        <w:rPr>
          <w:rFonts w:hint="cs"/>
          <w:b/>
          <w:bCs/>
          <w:color w:val="000000"/>
          <w:sz w:val="26"/>
          <w:szCs w:val="26"/>
          <w:rtl/>
        </w:rPr>
        <w:t xml:space="preserve"> </w:t>
      </w:r>
      <w:r>
        <w:rPr>
          <w:rFonts w:hint="cs"/>
          <w:color w:val="000000"/>
          <w:sz w:val="26"/>
          <w:szCs w:val="26"/>
          <w:rtl/>
        </w:rPr>
        <w:t xml:space="preserve">מוצע להוסיף בחוק התייחסות להליך גישור בתובענות ייצוגיות. לצורך כך מוצע להגדיר גישור כמשמעו </w:t>
      </w:r>
      <w:r w:rsidRPr="004551A7">
        <w:rPr>
          <w:rFonts w:hint="cs"/>
          <w:color w:val="000000"/>
          <w:sz w:val="26"/>
          <w:szCs w:val="26"/>
          <w:rtl/>
        </w:rPr>
        <w:t xml:space="preserve">בסעיף 79ג לחוק </w:t>
      </w:r>
      <w:r w:rsidRPr="004551A7">
        <w:rPr>
          <w:color w:val="000000"/>
          <w:sz w:val="26"/>
          <w:szCs w:val="26"/>
          <w:rtl/>
        </w:rPr>
        <w:t>בתי המשפט [נוסח משולב], תשמ"ד-1984</w:t>
      </w:r>
      <w:r>
        <w:rPr>
          <w:rFonts w:hint="cs"/>
          <w:color w:val="000000"/>
          <w:sz w:val="26"/>
          <w:szCs w:val="26"/>
          <w:rtl/>
        </w:rPr>
        <w:t xml:space="preserve">. גישור הוא הליך </w:t>
      </w:r>
      <w:r w:rsidRPr="004551A7">
        <w:rPr>
          <w:color w:val="000000"/>
          <w:sz w:val="26"/>
          <w:szCs w:val="26"/>
          <w:rtl/>
        </w:rPr>
        <w:t xml:space="preserve">שבו נועד מגשר עם בעלי הדין, כדי להביאם לידי הסכמה ליישוב הסכסוך, מבלי שיש בידו סמכות </w:t>
      </w:r>
      <w:r w:rsidRPr="004551A7">
        <w:rPr>
          <w:color w:val="000000"/>
          <w:sz w:val="26"/>
          <w:szCs w:val="26"/>
          <w:rtl/>
        </w:rPr>
        <w:lastRenderedPageBreak/>
        <w:t>להכריע בו</w:t>
      </w:r>
      <w:r>
        <w:rPr>
          <w:rFonts w:hint="cs"/>
          <w:color w:val="000000"/>
          <w:sz w:val="26"/>
          <w:szCs w:val="26"/>
          <w:rtl/>
        </w:rPr>
        <w:t>. בנוסף, מוצע להוסיף הגדרה למגשר</w:t>
      </w:r>
      <w:r w:rsidR="003610C5">
        <w:rPr>
          <w:rFonts w:hint="cs"/>
          <w:color w:val="000000"/>
          <w:sz w:val="26"/>
          <w:szCs w:val="26"/>
          <w:rtl/>
        </w:rPr>
        <w:t xml:space="preserve"> לפיה מגשר הוא </w:t>
      </w:r>
      <w:r w:rsidR="003610C5" w:rsidRPr="004551A7">
        <w:rPr>
          <w:color w:val="000000"/>
          <w:sz w:val="26"/>
          <w:szCs w:val="26"/>
          <w:rtl/>
        </w:rPr>
        <w:t>שתפקידו לסייע בידי בעלי הדין להגיע להסדר גישור מתוך ניהול משא ומתן חופשי, בלי שיש בידו סמכות להכריע בו</w:t>
      </w:r>
      <w:r w:rsidR="003610C5">
        <w:rPr>
          <w:rFonts w:hint="cs"/>
          <w:color w:val="000000"/>
          <w:sz w:val="26"/>
          <w:szCs w:val="26"/>
          <w:rtl/>
        </w:rPr>
        <w:t>. זאת, בדומה להגדרת מגשר ב</w:t>
      </w:r>
      <w:r w:rsidRPr="004551A7">
        <w:rPr>
          <w:rFonts w:hint="cs"/>
          <w:color w:val="000000"/>
          <w:sz w:val="26"/>
          <w:szCs w:val="26"/>
          <w:rtl/>
        </w:rPr>
        <w:t xml:space="preserve">תקנות </w:t>
      </w:r>
      <w:r w:rsidRPr="004551A7">
        <w:rPr>
          <w:color w:val="000000"/>
          <w:sz w:val="26"/>
          <w:szCs w:val="26"/>
          <w:rtl/>
        </w:rPr>
        <w:t>בתי המשפט (גישור), תשנ"ג-1993</w:t>
      </w:r>
      <w:r>
        <w:rPr>
          <w:rFonts w:hint="cs"/>
          <w:color w:val="000000"/>
          <w:sz w:val="26"/>
          <w:szCs w:val="26"/>
          <w:rtl/>
        </w:rPr>
        <w:t xml:space="preserve">. </w:t>
      </w:r>
    </w:p>
    <w:p w14:paraId="6C3DEF74" w14:textId="1E49D5A1" w:rsidR="000F26C4" w:rsidRDefault="00036DD0" w:rsidP="000F26C4">
      <w:pPr>
        <w:tabs>
          <w:tab w:val="left" w:pos="1020"/>
        </w:tabs>
        <w:autoSpaceDE w:val="0"/>
        <w:autoSpaceDN w:val="0"/>
        <w:adjustRightInd w:val="0"/>
        <w:snapToGrid w:val="0"/>
        <w:ind w:left="0"/>
        <w:contextualSpacing w:val="0"/>
        <w:textAlignment w:val="center"/>
        <w:rPr>
          <w:color w:val="000000"/>
          <w:sz w:val="26"/>
          <w:szCs w:val="26"/>
          <w:rtl/>
        </w:rPr>
      </w:pPr>
      <w:r>
        <w:rPr>
          <w:rFonts w:hint="cs"/>
          <w:b/>
          <w:bCs/>
          <w:color w:val="000000"/>
          <w:sz w:val="26"/>
          <w:szCs w:val="26"/>
          <w:rtl/>
        </w:rPr>
        <w:t xml:space="preserve">להגדרה "חוזה ארוך טווח" </w:t>
      </w:r>
      <w:r>
        <w:rPr>
          <w:b/>
          <w:bCs/>
          <w:color w:val="000000"/>
          <w:sz w:val="26"/>
          <w:szCs w:val="26"/>
          <w:rtl/>
        </w:rPr>
        <w:t>–</w:t>
      </w:r>
      <w:r>
        <w:rPr>
          <w:rFonts w:hint="cs"/>
          <w:b/>
          <w:bCs/>
          <w:color w:val="000000"/>
          <w:sz w:val="26"/>
          <w:szCs w:val="26"/>
          <w:rtl/>
        </w:rPr>
        <w:t xml:space="preserve"> </w:t>
      </w:r>
      <w:r>
        <w:rPr>
          <w:rFonts w:hint="cs"/>
          <w:color w:val="000000"/>
          <w:sz w:val="26"/>
          <w:szCs w:val="26"/>
          <w:rtl/>
        </w:rPr>
        <w:t xml:space="preserve">בסעיף 8(א)(2) לחוק מוצע </w:t>
      </w:r>
      <w:r w:rsidR="008341C1">
        <w:rPr>
          <w:rFonts w:hint="cs"/>
          <w:color w:val="000000"/>
          <w:sz w:val="26"/>
          <w:szCs w:val="26"/>
          <w:rtl/>
        </w:rPr>
        <w:t xml:space="preserve">לקבוע </w:t>
      </w:r>
      <w:r>
        <w:rPr>
          <w:rFonts w:hint="cs"/>
          <w:color w:val="000000"/>
          <w:sz w:val="26"/>
          <w:szCs w:val="26"/>
          <w:rtl/>
        </w:rPr>
        <w:t xml:space="preserve">שיקולים </w:t>
      </w:r>
      <w:r w:rsidR="008341C1">
        <w:rPr>
          <w:rFonts w:hint="cs"/>
          <w:color w:val="000000"/>
          <w:sz w:val="26"/>
          <w:szCs w:val="26"/>
          <w:rtl/>
        </w:rPr>
        <w:t xml:space="preserve">שישקול בית המשפט </w:t>
      </w:r>
      <w:r>
        <w:rPr>
          <w:rFonts w:hint="cs"/>
          <w:color w:val="000000"/>
          <w:sz w:val="26"/>
          <w:szCs w:val="26"/>
          <w:rtl/>
        </w:rPr>
        <w:t>הנוגעים ל</w:t>
      </w:r>
      <w:r w:rsidR="008341C1">
        <w:rPr>
          <w:rFonts w:hint="cs"/>
          <w:color w:val="000000"/>
          <w:sz w:val="26"/>
          <w:szCs w:val="26"/>
          <w:rtl/>
        </w:rPr>
        <w:t xml:space="preserve">תובענות בעניין </w:t>
      </w:r>
      <w:r>
        <w:rPr>
          <w:rFonts w:hint="cs"/>
          <w:color w:val="000000"/>
          <w:sz w:val="26"/>
          <w:szCs w:val="26"/>
          <w:rtl/>
        </w:rPr>
        <w:t xml:space="preserve">חוזים ארוכי טווח בתחום הביטוח. מוצע להגדיר חוזה ארוך טווח כחוזה </w:t>
      </w:r>
      <w:r w:rsidR="00EC387D">
        <w:rPr>
          <w:rFonts w:hint="cs"/>
          <w:color w:val="000000"/>
          <w:sz w:val="26"/>
          <w:szCs w:val="26"/>
          <w:rtl/>
        </w:rPr>
        <w:t xml:space="preserve">לתקופה שאינה מוגבלת </w:t>
      </w:r>
      <w:r>
        <w:rPr>
          <w:rFonts w:hint="cs"/>
          <w:color w:val="000000"/>
          <w:sz w:val="26"/>
          <w:szCs w:val="26"/>
          <w:rtl/>
        </w:rPr>
        <w:t xml:space="preserve">או חוזה לתקופה העולה על עשרים שנה ואשר נכרת </w:t>
      </w:r>
      <w:r w:rsidR="000F26C4" w:rsidRPr="000F26C4">
        <w:rPr>
          <w:rFonts w:hint="cs"/>
          <w:color w:val="000000"/>
          <w:sz w:val="26"/>
          <w:szCs w:val="26"/>
          <w:rtl/>
        </w:rPr>
        <w:t xml:space="preserve">עד ליום </w:t>
      </w:r>
      <w:r w:rsidR="00EC387D">
        <w:rPr>
          <w:rFonts w:hint="cs"/>
          <w:color w:val="000000"/>
          <w:sz w:val="26"/>
          <w:szCs w:val="26"/>
          <w:rtl/>
        </w:rPr>
        <w:t xml:space="preserve">י' בטבת </w:t>
      </w:r>
      <w:proofErr w:type="spellStart"/>
      <w:r w:rsidR="000F26C4" w:rsidRPr="000F26C4">
        <w:rPr>
          <w:rFonts w:hint="cs"/>
          <w:color w:val="000000"/>
          <w:sz w:val="26"/>
          <w:szCs w:val="26"/>
          <w:rtl/>
        </w:rPr>
        <w:t>התשע"ה</w:t>
      </w:r>
      <w:proofErr w:type="spellEnd"/>
      <w:r w:rsidR="000F26C4" w:rsidRPr="000F26C4">
        <w:rPr>
          <w:rFonts w:hint="cs"/>
          <w:color w:val="000000"/>
          <w:sz w:val="26"/>
          <w:szCs w:val="26"/>
          <w:rtl/>
        </w:rPr>
        <w:t xml:space="preserve"> (</w:t>
      </w:r>
      <w:r w:rsidR="00EC387D">
        <w:rPr>
          <w:rFonts w:hint="cs"/>
          <w:color w:val="000000"/>
          <w:sz w:val="26"/>
          <w:szCs w:val="26"/>
          <w:rtl/>
        </w:rPr>
        <w:t>1</w:t>
      </w:r>
      <w:r w:rsidR="000F26C4" w:rsidRPr="000F26C4">
        <w:rPr>
          <w:rFonts w:hint="cs"/>
          <w:color w:val="000000"/>
          <w:sz w:val="26"/>
          <w:szCs w:val="26"/>
          <w:rtl/>
        </w:rPr>
        <w:t xml:space="preserve"> ב</w:t>
      </w:r>
      <w:r w:rsidR="00EC387D">
        <w:rPr>
          <w:rFonts w:hint="cs"/>
          <w:color w:val="000000"/>
          <w:sz w:val="26"/>
          <w:szCs w:val="26"/>
          <w:rtl/>
        </w:rPr>
        <w:t>ינואר</w:t>
      </w:r>
      <w:r w:rsidR="000F26C4" w:rsidRPr="000F26C4">
        <w:rPr>
          <w:rFonts w:hint="cs"/>
          <w:color w:val="000000"/>
          <w:sz w:val="26"/>
          <w:szCs w:val="26"/>
          <w:rtl/>
        </w:rPr>
        <w:t xml:space="preserve"> 201</w:t>
      </w:r>
      <w:r w:rsidR="00EC387D">
        <w:rPr>
          <w:rFonts w:hint="cs"/>
          <w:color w:val="000000"/>
          <w:sz w:val="26"/>
          <w:szCs w:val="26"/>
          <w:rtl/>
        </w:rPr>
        <w:t>5</w:t>
      </w:r>
      <w:r w:rsidR="000F26C4" w:rsidRPr="000F26C4">
        <w:rPr>
          <w:rFonts w:hint="cs"/>
          <w:color w:val="000000"/>
          <w:sz w:val="26"/>
          <w:szCs w:val="26"/>
          <w:rtl/>
        </w:rPr>
        <w:t>)</w:t>
      </w:r>
      <w:r w:rsidR="000F26C4">
        <w:rPr>
          <w:rFonts w:hint="cs"/>
          <w:color w:val="000000"/>
          <w:sz w:val="26"/>
          <w:szCs w:val="26"/>
          <w:rtl/>
        </w:rPr>
        <w:t xml:space="preserve">, שהוא יום כניסתו לתוקף של תיקון מס' 28 לחוק </w:t>
      </w:r>
      <w:r w:rsidR="000F26C4" w:rsidRPr="000F26C4">
        <w:rPr>
          <w:color w:val="000000"/>
          <w:sz w:val="26"/>
          <w:szCs w:val="26"/>
          <w:rtl/>
        </w:rPr>
        <w:t>הפיקוח על שירותים פיננסיים (ביטוח), תשמ"א-1981</w:t>
      </w:r>
      <w:r w:rsidR="000F26C4">
        <w:rPr>
          <w:rFonts w:hint="cs"/>
          <w:color w:val="000000"/>
          <w:sz w:val="26"/>
          <w:szCs w:val="26"/>
          <w:rtl/>
        </w:rPr>
        <w:t xml:space="preserve"> </w:t>
      </w:r>
      <w:r w:rsidR="000F26C4" w:rsidRPr="000F26C4">
        <w:rPr>
          <w:color w:val="000000"/>
          <w:sz w:val="26"/>
          <w:szCs w:val="26"/>
          <w:rtl/>
        </w:rPr>
        <w:t>שקבע מנגנון של אי התנגדות לאישור ת</w:t>
      </w:r>
      <w:r w:rsidR="000F26C4">
        <w:rPr>
          <w:rFonts w:hint="cs"/>
          <w:color w:val="000000"/>
          <w:sz w:val="26"/>
          <w:szCs w:val="26"/>
          <w:rtl/>
        </w:rPr>
        <w:t>ו</w:t>
      </w:r>
      <w:r w:rsidR="000F26C4" w:rsidRPr="000F26C4">
        <w:rPr>
          <w:color w:val="000000"/>
          <w:sz w:val="26"/>
          <w:szCs w:val="26"/>
          <w:rtl/>
        </w:rPr>
        <w:t>כניות ביטוח</w:t>
      </w:r>
      <w:r w:rsidR="000F26C4">
        <w:rPr>
          <w:rFonts w:hint="cs"/>
          <w:color w:val="000000"/>
          <w:sz w:val="26"/>
          <w:szCs w:val="26"/>
          <w:rtl/>
        </w:rPr>
        <w:t>.</w:t>
      </w:r>
    </w:p>
    <w:p w14:paraId="7439D07B" w14:textId="23EAC38A" w:rsidR="008F3D2E" w:rsidRPr="008F3D2E" w:rsidRDefault="008F3D2E" w:rsidP="008B5F1D">
      <w:pPr>
        <w:tabs>
          <w:tab w:val="left" w:pos="1020"/>
        </w:tabs>
        <w:autoSpaceDE w:val="0"/>
        <w:autoSpaceDN w:val="0"/>
        <w:adjustRightInd w:val="0"/>
        <w:snapToGrid w:val="0"/>
        <w:ind w:left="0"/>
        <w:contextualSpacing w:val="0"/>
        <w:textAlignment w:val="center"/>
        <w:rPr>
          <w:color w:val="000000"/>
          <w:sz w:val="26"/>
          <w:szCs w:val="26"/>
          <w:rtl/>
        </w:rPr>
      </w:pPr>
      <w:r>
        <w:rPr>
          <w:rFonts w:hint="cs"/>
          <w:b/>
          <w:bCs/>
          <w:color w:val="000000"/>
          <w:sz w:val="26"/>
          <w:szCs w:val="26"/>
          <w:rtl/>
        </w:rPr>
        <w:t xml:space="preserve">להגדרה "מס, אגרה או תשלום חובה אחר" </w:t>
      </w:r>
      <w:r>
        <w:rPr>
          <w:b/>
          <w:bCs/>
          <w:color w:val="000000"/>
          <w:sz w:val="26"/>
          <w:szCs w:val="26"/>
          <w:rtl/>
        </w:rPr>
        <w:t>–</w:t>
      </w:r>
      <w:r>
        <w:rPr>
          <w:rFonts w:hint="cs"/>
          <w:color w:val="000000"/>
          <w:sz w:val="26"/>
          <w:szCs w:val="26"/>
          <w:rtl/>
        </w:rPr>
        <w:t xml:space="preserve"> </w:t>
      </w:r>
      <w:r w:rsidRPr="008F3D2E">
        <w:rPr>
          <w:color w:val="000000"/>
          <w:sz w:val="26"/>
          <w:szCs w:val="26"/>
          <w:rtl/>
        </w:rPr>
        <w:t xml:space="preserve">פרט 11 לתוספת השנייה לחוק תובענות ייצוגיות (להלן- פרט 11) קובע כי ניתן להגיש תובענה ייצוגית נגד רשות בתביעה להשבת סכומים שגבתה שלא כדין כ"מס, אגרה או תשלום חובה אחר". בהתאם לפסיקה, פרט 11 מפורש בצמצום שכן כוונת המחוקק בחקיקת החוק הייתה לאפשר הגשת תביעות השבה נגד רשות רק ביחס לתשלומים מסוימים שנקבעו בחוק. </w:t>
      </w:r>
    </w:p>
    <w:p w14:paraId="68FFE8B4" w14:textId="005C3BFC" w:rsidR="008F3D2E" w:rsidRPr="008F3D2E" w:rsidRDefault="008F3D2E" w:rsidP="008F3D2E">
      <w:pPr>
        <w:tabs>
          <w:tab w:val="left" w:pos="1020"/>
        </w:tabs>
        <w:autoSpaceDE w:val="0"/>
        <w:autoSpaceDN w:val="0"/>
        <w:adjustRightInd w:val="0"/>
        <w:snapToGrid w:val="0"/>
        <w:ind w:left="0"/>
        <w:contextualSpacing w:val="0"/>
        <w:textAlignment w:val="center"/>
        <w:rPr>
          <w:color w:val="000000"/>
          <w:sz w:val="26"/>
          <w:szCs w:val="26"/>
          <w:rtl/>
        </w:rPr>
      </w:pPr>
      <w:r w:rsidRPr="008F3D2E">
        <w:rPr>
          <w:color w:val="000000"/>
          <w:sz w:val="26"/>
          <w:szCs w:val="26"/>
          <w:rtl/>
        </w:rPr>
        <w:t xml:space="preserve">בפסק </w:t>
      </w:r>
      <w:r w:rsidR="00E44DC7">
        <w:rPr>
          <w:rFonts w:hint="cs"/>
          <w:color w:val="000000"/>
          <w:sz w:val="26"/>
          <w:szCs w:val="26"/>
          <w:rtl/>
        </w:rPr>
        <w:t>ה</w:t>
      </w:r>
      <w:r w:rsidRPr="008F3D2E">
        <w:rPr>
          <w:color w:val="000000"/>
          <w:sz w:val="26"/>
          <w:szCs w:val="26"/>
          <w:rtl/>
        </w:rPr>
        <w:t>דין</w:t>
      </w:r>
      <w:r w:rsidR="00E44DC7">
        <w:rPr>
          <w:rFonts w:hint="cs"/>
          <w:color w:val="000000"/>
          <w:sz w:val="26"/>
          <w:szCs w:val="26"/>
          <w:rtl/>
        </w:rPr>
        <w:t xml:space="preserve"> בעניין </w:t>
      </w:r>
      <w:proofErr w:type="spellStart"/>
      <w:r w:rsidR="00E44DC7" w:rsidRPr="008F3D2E">
        <w:rPr>
          <w:color w:val="000000"/>
          <w:sz w:val="26"/>
          <w:szCs w:val="26"/>
          <w:rtl/>
        </w:rPr>
        <w:t>עע"מ</w:t>
      </w:r>
      <w:proofErr w:type="spellEnd"/>
      <w:r w:rsidR="00E44DC7" w:rsidRPr="008F3D2E">
        <w:rPr>
          <w:color w:val="000000"/>
          <w:sz w:val="26"/>
          <w:szCs w:val="26"/>
          <w:rtl/>
        </w:rPr>
        <w:t xml:space="preserve"> 7373/10 יוסי לוי נ' מדינת ישראל צבא הגנה לישראל מדור תשלומים (פורסם </w:t>
      </w:r>
      <w:proofErr w:type="spellStart"/>
      <w:r w:rsidR="00E44DC7" w:rsidRPr="008F3D2E">
        <w:rPr>
          <w:color w:val="000000"/>
          <w:sz w:val="26"/>
          <w:szCs w:val="26"/>
          <w:rtl/>
        </w:rPr>
        <w:t>באר"ש</w:t>
      </w:r>
      <w:proofErr w:type="spellEnd"/>
      <w:r w:rsidR="00E44DC7" w:rsidRPr="008F3D2E">
        <w:rPr>
          <w:color w:val="000000"/>
          <w:sz w:val="26"/>
          <w:szCs w:val="26"/>
          <w:rtl/>
        </w:rPr>
        <w:t>, 13.08.2012)</w:t>
      </w:r>
      <w:r w:rsidRPr="008F3D2E">
        <w:rPr>
          <w:color w:val="000000"/>
          <w:sz w:val="26"/>
          <w:szCs w:val="26"/>
          <w:rtl/>
        </w:rPr>
        <w:t xml:space="preserve"> עמד בית המשפט על הדמיון הלשוני בין התשלומים המנויים בפרט 11 לבין התשלומים המנויים בסעיף 1(א) לחוק יסוד: משק המדינה. תיקון זה מטרתו לעגן פסיקה זו בחקיקה ולהבהיר שהכוונה בתשלומים המנויים בפרט 11 היא לא לכל תשלום אשר נדרשת הסמכה בדין כדי להטילו או כל תשלום שגבייתו נעשתה בכפיה, אלא רק לסוגי התשלומים המנויים בסעיף 1(א) לחוק יסוד: משק המדינה ובהתאם למשמעותם בחוק היסוד. </w:t>
      </w:r>
    </w:p>
    <w:p w14:paraId="3C8F427E" w14:textId="6CECAA3A" w:rsidR="008F3D2E" w:rsidRPr="008F3D2E" w:rsidRDefault="008F3D2E" w:rsidP="008F3D2E">
      <w:pPr>
        <w:tabs>
          <w:tab w:val="left" w:pos="1020"/>
        </w:tabs>
        <w:autoSpaceDE w:val="0"/>
        <w:autoSpaceDN w:val="0"/>
        <w:adjustRightInd w:val="0"/>
        <w:snapToGrid w:val="0"/>
        <w:ind w:left="0"/>
        <w:contextualSpacing w:val="0"/>
        <w:textAlignment w:val="center"/>
        <w:rPr>
          <w:color w:val="000000"/>
          <w:sz w:val="26"/>
          <w:szCs w:val="26"/>
          <w:rtl/>
        </w:rPr>
      </w:pPr>
      <w:r w:rsidRPr="008F3D2E">
        <w:rPr>
          <w:color w:val="000000"/>
          <w:sz w:val="26"/>
          <w:szCs w:val="26"/>
          <w:rtl/>
        </w:rPr>
        <w:t xml:space="preserve">חשוב להדגיש בהקשר זה כי האפשרות של כפיית תשלומים על ידי המדינה </w:t>
      </w:r>
      <w:r w:rsidR="008341C1">
        <w:rPr>
          <w:rFonts w:hint="cs"/>
          <w:color w:val="000000"/>
          <w:sz w:val="26"/>
          <w:szCs w:val="26"/>
          <w:rtl/>
        </w:rPr>
        <w:t>קיימ</w:t>
      </w:r>
      <w:r w:rsidR="008341C1" w:rsidRPr="008F3D2E">
        <w:rPr>
          <w:color w:val="000000"/>
          <w:sz w:val="26"/>
          <w:szCs w:val="26"/>
          <w:rtl/>
        </w:rPr>
        <w:t xml:space="preserve">ת </w:t>
      </w:r>
      <w:r w:rsidRPr="008F3D2E">
        <w:rPr>
          <w:color w:val="000000"/>
          <w:sz w:val="26"/>
          <w:szCs w:val="26"/>
          <w:rtl/>
        </w:rPr>
        <w:t xml:space="preserve">בהקשרים רבים ושונים, אשר אינם כולם תשלומי חובה כמשמעם בסעיף 1 לחוק יסוד: משק המדינה ובפרט 11. כך לדוגמא, לא ניתן להגיש תובענה ייצוגית לפי פרט 11 ביחס לגביה של קנסות (ראו בר"מ 7302/16 עיריית תל אביב-יפו נ' רינה איגרא (פורסם באר"ש,15.3.2018) או תשלומים </w:t>
      </w:r>
      <w:proofErr w:type="spellStart"/>
      <w:r w:rsidRPr="008F3D2E">
        <w:rPr>
          <w:color w:val="000000"/>
          <w:sz w:val="26"/>
          <w:szCs w:val="26"/>
          <w:rtl/>
        </w:rPr>
        <w:t>עונשיים</w:t>
      </w:r>
      <w:proofErr w:type="spellEnd"/>
      <w:r w:rsidRPr="008F3D2E">
        <w:rPr>
          <w:color w:val="000000"/>
          <w:sz w:val="26"/>
          <w:szCs w:val="26"/>
          <w:rtl/>
        </w:rPr>
        <w:t xml:space="preserve"> אחרים אשר משמשים כאמצעי אכיפה חלופיים, למשל עיצומים כספיים וכן סוגי קנסות אחרים, וזאת על אף שמדובר בתשלומים כפויים. </w:t>
      </w:r>
    </w:p>
    <w:p w14:paraId="41EB16B2" w14:textId="1F50A642" w:rsidR="001362DA" w:rsidRPr="00F32692" w:rsidRDefault="008F3D2E" w:rsidP="008F3D2E">
      <w:pPr>
        <w:tabs>
          <w:tab w:val="left" w:pos="1020"/>
        </w:tabs>
        <w:autoSpaceDE w:val="0"/>
        <w:autoSpaceDN w:val="0"/>
        <w:adjustRightInd w:val="0"/>
        <w:snapToGrid w:val="0"/>
        <w:ind w:left="0"/>
        <w:contextualSpacing w:val="0"/>
        <w:textAlignment w:val="center"/>
        <w:rPr>
          <w:color w:val="000000"/>
          <w:sz w:val="26"/>
          <w:szCs w:val="26"/>
          <w:rtl/>
        </w:rPr>
      </w:pPr>
      <w:r w:rsidRPr="008F3D2E">
        <w:rPr>
          <w:color w:val="000000"/>
          <w:sz w:val="26"/>
          <w:szCs w:val="26"/>
          <w:rtl/>
        </w:rPr>
        <w:t xml:space="preserve">דוגמאות לתשלומים נוספים שהמדינה כופה על האזרח אך אינם נופלים בגדר "תשלום חובה" כמשמעו בסעיף 1 לחוק היסוד ובפרט 11, הם למשל סכומים שנפסקו בפסק דין לטובת המדינה (ראו בר"מ 4023/09 רשות </w:t>
      </w:r>
      <w:proofErr w:type="spellStart"/>
      <w:r w:rsidRPr="008F3D2E">
        <w:rPr>
          <w:color w:val="000000"/>
          <w:sz w:val="26"/>
          <w:szCs w:val="26"/>
          <w:rtl/>
        </w:rPr>
        <w:t>המסים</w:t>
      </w:r>
      <w:proofErr w:type="spellEnd"/>
      <w:r w:rsidRPr="008F3D2E">
        <w:rPr>
          <w:color w:val="000000"/>
          <w:sz w:val="26"/>
          <w:szCs w:val="26"/>
          <w:rtl/>
        </w:rPr>
        <w:t xml:space="preserve"> נ' </w:t>
      </w:r>
      <w:proofErr w:type="spellStart"/>
      <w:r w:rsidRPr="008F3D2E">
        <w:rPr>
          <w:color w:val="000000"/>
          <w:sz w:val="26"/>
          <w:szCs w:val="26"/>
          <w:rtl/>
        </w:rPr>
        <w:t>אחימן</w:t>
      </w:r>
      <w:proofErr w:type="spellEnd"/>
      <w:r w:rsidRPr="008F3D2E">
        <w:rPr>
          <w:color w:val="000000"/>
          <w:sz w:val="26"/>
          <w:szCs w:val="26"/>
          <w:rtl/>
        </w:rPr>
        <w:t xml:space="preserve"> (פורסם </w:t>
      </w:r>
      <w:proofErr w:type="spellStart"/>
      <w:r w:rsidRPr="008F3D2E">
        <w:rPr>
          <w:color w:val="000000"/>
          <w:sz w:val="26"/>
          <w:szCs w:val="26"/>
          <w:rtl/>
        </w:rPr>
        <w:t>באר"ש</w:t>
      </w:r>
      <w:proofErr w:type="spellEnd"/>
      <w:r w:rsidRPr="008F3D2E">
        <w:rPr>
          <w:color w:val="000000"/>
          <w:sz w:val="26"/>
          <w:szCs w:val="26"/>
          <w:rtl/>
        </w:rPr>
        <w:t xml:space="preserve">, 23.3.2011), תשלומים בגין סכומים הנגבים מכוח חוק ההוצאה לפועל, התשכ"ז-1967 ומועברים במלואם לזוכים בתיקי הוצאה לפועל (ראו </w:t>
      </w:r>
      <w:proofErr w:type="spellStart"/>
      <w:r w:rsidRPr="008F3D2E">
        <w:rPr>
          <w:color w:val="000000"/>
          <w:sz w:val="26"/>
          <w:szCs w:val="26"/>
          <w:rtl/>
        </w:rPr>
        <w:t>עע"מ</w:t>
      </w:r>
      <w:proofErr w:type="spellEnd"/>
      <w:r w:rsidRPr="008F3D2E">
        <w:rPr>
          <w:color w:val="000000"/>
          <w:sz w:val="26"/>
          <w:szCs w:val="26"/>
          <w:rtl/>
        </w:rPr>
        <w:t xml:space="preserve"> 4784/19 גיא הרינג נ' משרד המשפטים - רשות האכיפה </w:t>
      </w:r>
      <w:r w:rsidRPr="00F32692">
        <w:rPr>
          <w:color w:val="000000"/>
          <w:sz w:val="26"/>
          <w:szCs w:val="26"/>
          <w:rtl/>
        </w:rPr>
        <w:t xml:space="preserve">והגביה (פורסם </w:t>
      </w:r>
      <w:proofErr w:type="spellStart"/>
      <w:r w:rsidRPr="00F32692">
        <w:rPr>
          <w:color w:val="000000"/>
          <w:sz w:val="26"/>
          <w:szCs w:val="26"/>
          <w:rtl/>
        </w:rPr>
        <w:t>באר"ש</w:t>
      </w:r>
      <w:proofErr w:type="spellEnd"/>
      <w:r w:rsidRPr="00F32692">
        <w:rPr>
          <w:color w:val="000000"/>
          <w:sz w:val="26"/>
          <w:szCs w:val="26"/>
          <w:rtl/>
        </w:rPr>
        <w:t>, 12.11.2020) ועוד. למען הסר ספק, מוצע לעגן בפרט 11 את התיקון המבהיר האמור.</w:t>
      </w:r>
    </w:p>
    <w:p w14:paraId="7406E620" w14:textId="1B30D2EF" w:rsidR="008F3D2E" w:rsidRDefault="008F3D2E" w:rsidP="008F3D2E">
      <w:pPr>
        <w:tabs>
          <w:tab w:val="left" w:pos="1020"/>
        </w:tabs>
        <w:autoSpaceDE w:val="0"/>
        <w:autoSpaceDN w:val="0"/>
        <w:adjustRightInd w:val="0"/>
        <w:snapToGrid w:val="0"/>
        <w:ind w:left="0"/>
        <w:contextualSpacing w:val="0"/>
        <w:textAlignment w:val="center"/>
        <w:rPr>
          <w:color w:val="000000"/>
          <w:sz w:val="26"/>
          <w:szCs w:val="26"/>
          <w:rtl/>
        </w:rPr>
      </w:pPr>
      <w:r w:rsidRPr="00F32692">
        <w:rPr>
          <w:rFonts w:hint="cs"/>
          <w:b/>
          <w:bCs/>
          <w:color w:val="000000"/>
          <w:sz w:val="26"/>
          <w:szCs w:val="26"/>
          <w:rtl/>
        </w:rPr>
        <w:t>להגדרה "פ</w:t>
      </w:r>
      <w:r w:rsidR="006F54CA" w:rsidRPr="00F32692">
        <w:rPr>
          <w:rFonts w:hint="cs"/>
          <w:b/>
          <w:bCs/>
          <w:color w:val="000000"/>
          <w:sz w:val="26"/>
          <w:szCs w:val="26"/>
          <w:rtl/>
        </w:rPr>
        <w:t>ניה מוקדמת</w:t>
      </w:r>
      <w:r w:rsidRPr="00F32692">
        <w:rPr>
          <w:rFonts w:hint="cs"/>
          <w:b/>
          <w:bCs/>
          <w:color w:val="000000"/>
          <w:sz w:val="26"/>
          <w:szCs w:val="26"/>
          <w:rtl/>
        </w:rPr>
        <w:t>"</w:t>
      </w:r>
      <w:r w:rsidRPr="00F32692">
        <w:rPr>
          <w:rFonts w:hint="cs"/>
          <w:color w:val="000000"/>
          <w:sz w:val="26"/>
          <w:szCs w:val="26"/>
          <w:rtl/>
        </w:rPr>
        <w:t xml:space="preserve"> </w:t>
      </w:r>
      <w:r w:rsidRPr="00F32692">
        <w:rPr>
          <w:color w:val="000000"/>
          <w:sz w:val="26"/>
          <w:szCs w:val="26"/>
          <w:rtl/>
        </w:rPr>
        <w:t>–</w:t>
      </w:r>
      <w:r w:rsidRPr="00F32692">
        <w:rPr>
          <w:rFonts w:hint="cs"/>
          <w:color w:val="000000"/>
          <w:sz w:val="26"/>
          <w:szCs w:val="26"/>
          <w:rtl/>
        </w:rPr>
        <w:t xml:space="preserve"> מוצע ל</w:t>
      </w:r>
      <w:r w:rsidR="00F22C7C" w:rsidRPr="00F32692">
        <w:rPr>
          <w:rFonts w:hint="cs"/>
          <w:color w:val="000000"/>
          <w:sz w:val="26"/>
          <w:szCs w:val="26"/>
          <w:rtl/>
        </w:rPr>
        <w:t>הוסיף את</w:t>
      </w:r>
      <w:r w:rsidRPr="00F32692">
        <w:rPr>
          <w:rFonts w:hint="cs"/>
          <w:color w:val="000000"/>
          <w:sz w:val="26"/>
          <w:szCs w:val="26"/>
          <w:rtl/>
        </w:rPr>
        <w:t xml:space="preserve"> סעי</w:t>
      </w:r>
      <w:r w:rsidR="00F22C7C" w:rsidRPr="00F32692">
        <w:rPr>
          <w:rFonts w:hint="cs"/>
          <w:color w:val="000000"/>
          <w:sz w:val="26"/>
          <w:szCs w:val="26"/>
          <w:rtl/>
        </w:rPr>
        <w:t>פים</w:t>
      </w:r>
      <w:r w:rsidRPr="00F32692">
        <w:rPr>
          <w:rFonts w:hint="cs"/>
          <w:color w:val="000000"/>
          <w:sz w:val="26"/>
          <w:szCs w:val="26"/>
          <w:rtl/>
        </w:rPr>
        <w:t xml:space="preserve"> 3א </w:t>
      </w:r>
      <w:r w:rsidR="00F22C7C" w:rsidRPr="00F32692">
        <w:rPr>
          <w:rFonts w:hint="cs"/>
          <w:color w:val="000000"/>
          <w:sz w:val="26"/>
          <w:szCs w:val="26"/>
          <w:rtl/>
        </w:rPr>
        <w:t>ו-</w:t>
      </w:r>
      <w:r w:rsidR="000D6B9A" w:rsidRPr="00F32692">
        <w:rPr>
          <w:rFonts w:hint="cs"/>
          <w:color w:val="000000"/>
          <w:sz w:val="26"/>
          <w:szCs w:val="26"/>
          <w:rtl/>
        </w:rPr>
        <w:t xml:space="preserve">3ב </w:t>
      </w:r>
      <w:r w:rsidR="00F22C7C" w:rsidRPr="00F32692">
        <w:rPr>
          <w:rFonts w:hint="cs"/>
          <w:color w:val="000000"/>
          <w:sz w:val="26"/>
          <w:szCs w:val="26"/>
          <w:rtl/>
        </w:rPr>
        <w:t xml:space="preserve">לחוק ולקבוע בהם </w:t>
      </w:r>
      <w:r w:rsidRPr="00F32692">
        <w:rPr>
          <w:rFonts w:hint="cs"/>
          <w:color w:val="000000"/>
          <w:sz w:val="26"/>
          <w:szCs w:val="26"/>
          <w:rtl/>
        </w:rPr>
        <w:t>מנגנון של פנייה מוקדמת בתביעות מסוימות וזאת בטרם הגשת תובענה ייצוגית. לאור האמור, מוצע</w:t>
      </w:r>
      <w:r>
        <w:rPr>
          <w:rFonts w:hint="cs"/>
          <w:color w:val="000000"/>
          <w:sz w:val="26"/>
          <w:szCs w:val="26"/>
          <w:rtl/>
        </w:rPr>
        <w:t xml:space="preserve"> להגדיר פ</w:t>
      </w:r>
      <w:r w:rsidR="006F54CA">
        <w:rPr>
          <w:rFonts w:hint="cs"/>
          <w:color w:val="000000"/>
          <w:sz w:val="26"/>
          <w:szCs w:val="26"/>
          <w:rtl/>
        </w:rPr>
        <w:t>ניה מוקדמת כפניה שערך פונה אל הנתבע</w:t>
      </w:r>
      <w:r>
        <w:rPr>
          <w:rFonts w:hint="cs"/>
          <w:color w:val="000000"/>
          <w:sz w:val="26"/>
          <w:szCs w:val="26"/>
          <w:rtl/>
        </w:rPr>
        <w:t xml:space="preserve"> בטרם הגשת בקשה לאישור </w:t>
      </w:r>
      <w:r w:rsidR="00F22C7C">
        <w:rPr>
          <w:rFonts w:hint="cs"/>
          <w:color w:val="000000"/>
          <w:sz w:val="26"/>
          <w:szCs w:val="26"/>
          <w:rtl/>
        </w:rPr>
        <w:t>לפי הסעיפים האמורים.</w:t>
      </w:r>
    </w:p>
    <w:p w14:paraId="759BF1AA" w14:textId="18F1DF11" w:rsidR="004551A7" w:rsidRPr="008F3D2E" w:rsidRDefault="00AC477A" w:rsidP="00F22C7C">
      <w:pPr>
        <w:tabs>
          <w:tab w:val="left" w:pos="1020"/>
        </w:tabs>
        <w:autoSpaceDE w:val="0"/>
        <w:autoSpaceDN w:val="0"/>
        <w:adjustRightInd w:val="0"/>
        <w:snapToGrid w:val="0"/>
        <w:ind w:left="0"/>
        <w:contextualSpacing w:val="0"/>
        <w:textAlignment w:val="center"/>
        <w:rPr>
          <w:color w:val="000000"/>
          <w:sz w:val="26"/>
          <w:szCs w:val="26"/>
          <w:rtl/>
        </w:rPr>
      </w:pPr>
      <w:r w:rsidRPr="00DE4818">
        <w:rPr>
          <w:rFonts w:hint="cs"/>
          <w:b/>
          <w:bCs/>
          <w:color w:val="000000"/>
          <w:sz w:val="26"/>
          <w:szCs w:val="26"/>
          <w:rtl/>
        </w:rPr>
        <w:t>להגדר</w:t>
      </w:r>
      <w:r>
        <w:rPr>
          <w:rFonts w:hint="cs"/>
          <w:b/>
          <w:bCs/>
          <w:color w:val="000000"/>
          <w:sz w:val="26"/>
          <w:szCs w:val="26"/>
          <w:rtl/>
        </w:rPr>
        <w:t>ות</w:t>
      </w:r>
      <w:r w:rsidRPr="00DE4818">
        <w:rPr>
          <w:rFonts w:hint="cs"/>
          <w:b/>
          <w:bCs/>
          <w:color w:val="000000"/>
          <w:sz w:val="26"/>
          <w:szCs w:val="26"/>
          <w:rtl/>
        </w:rPr>
        <w:t xml:space="preserve"> </w:t>
      </w:r>
      <w:r w:rsidR="00F22C7C" w:rsidRPr="00DE4818">
        <w:rPr>
          <w:rFonts w:hint="cs"/>
          <w:b/>
          <w:bCs/>
          <w:color w:val="000000"/>
          <w:sz w:val="26"/>
          <w:szCs w:val="26"/>
          <w:rtl/>
        </w:rPr>
        <w:t>"עסק זעיר"</w:t>
      </w:r>
      <w:r>
        <w:rPr>
          <w:rFonts w:hint="cs"/>
          <w:b/>
          <w:bCs/>
          <w:color w:val="000000"/>
          <w:sz w:val="26"/>
          <w:szCs w:val="26"/>
          <w:rtl/>
        </w:rPr>
        <w:t>, "עסק קטן" ו"עסק בינוני"</w:t>
      </w:r>
      <w:r>
        <w:rPr>
          <w:rFonts w:hint="cs"/>
          <w:color w:val="000000"/>
          <w:sz w:val="26"/>
          <w:szCs w:val="26"/>
          <w:rtl/>
        </w:rPr>
        <w:t xml:space="preserve"> </w:t>
      </w:r>
      <w:r w:rsidR="00F22C7C" w:rsidRPr="006A6B66">
        <w:rPr>
          <w:color w:val="000000"/>
          <w:sz w:val="26"/>
          <w:szCs w:val="26"/>
          <w:rtl/>
        </w:rPr>
        <w:t>–</w:t>
      </w:r>
      <w:r w:rsidR="00F22C7C" w:rsidRPr="006A6B66">
        <w:rPr>
          <w:rFonts w:hint="cs"/>
          <w:color w:val="000000"/>
          <w:sz w:val="26"/>
          <w:szCs w:val="26"/>
          <w:rtl/>
        </w:rPr>
        <w:t xml:space="preserve"> </w:t>
      </w:r>
      <w:r w:rsidR="00F22C7C">
        <w:rPr>
          <w:rFonts w:hint="cs"/>
          <w:color w:val="000000"/>
          <w:sz w:val="26"/>
          <w:szCs w:val="26"/>
          <w:rtl/>
        </w:rPr>
        <w:t>מוצע לקבוע הסדר ייחודי בתביעות כנגד עסק זעיר</w:t>
      </w:r>
      <w:r>
        <w:rPr>
          <w:rFonts w:hint="cs"/>
          <w:color w:val="000000"/>
          <w:sz w:val="26"/>
          <w:szCs w:val="26"/>
          <w:rtl/>
        </w:rPr>
        <w:t>, קטן ובינוני</w:t>
      </w:r>
      <w:r w:rsidR="00C5500C">
        <w:rPr>
          <w:rFonts w:hint="cs"/>
          <w:color w:val="000000"/>
          <w:sz w:val="26"/>
          <w:szCs w:val="26"/>
          <w:rtl/>
        </w:rPr>
        <w:t xml:space="preserve">. מוצע להגדיר עסק זעיר וקטן </w:t>
      </w:r>
      <w:r w:rsidR="00F22C7C">
        <w:rPr>
          <w:rFonts w:hint="cs"/>
          <w:color w:val="000000"/>
          <w:sz w:val="26"/>
          <w:szCs w:val="26"/>
          <w:rtl/>
        </w:rPr>
        <w:t>בהתאם להגדר</w:t>
      </w:r>
      <w:r>
        <w:rPr>
          <w:rFonts w:hint="cs"/>
          <w:color w:val="000000"/>
          <w:sz w:val="26"/>
          <w:szCs w:val="26"/>
          <w:rtl/>
        </w:rPr>
        <w:t xml:space="preserve">ות </w:t>
      </w:r>
      <w:r w:rsidR="00F22C7C">
        <w:rPr>
          <w:rFonts w:hint="cs"/>
          <w:color w:val="000000"/>
          <w:sz w:val="26"/>
          <w:szCs w:val="26"/>
          <w:rtl/>
        </w:rPr>
        <w:t xml:space="preserve">בחוק חובת </w:t>
      </w:r>
      <w:r w:rsidR="00F22C7C" w:rsidRPr="00D9153B">
        <w:rPr>
          <w:color w:val="000000"/>
          <w:sz w:val="26"/>
          <w:szCs w:val="26"/>
          <w:rtl/>
        </w:rPr>
        <w:t>המכרזים, תשנ"ב-</w:t>
      </w:r>
      <w:r w:rsidR="00F22C7C">
        <w:rPr>
          <w:rFonts w:hint="cs"/>
          <w:color w:val="000000"/>
          <w:sz w:val="26"/>
          <w:szCs w:val="26"/>
          <w:rtl/>
        </w:rPr>
        <w:t xml:space="preserve">1992. </w:t>
      </w:r>
      <w:r w:rsidR="008341C1">
        <w:rPr>
          <w:rFonts w:hint="cs"/>
          <w:color w:val="000000"/>
          <w:sz w:val="26"/>
          <w:szCs w:val="26"/>
          <w:rtl/>
        </w:rPr>
        <w:t>בהתאם להגדרה זו</w:t>
      </w:r>
      <w:r w:rsidR="006A6B66">
        <w:rPr>
          <w:rFonts w:hint="cs"/>
          <w:color w:val="000000"/>
          <w:sz w:val="26"/>
          <w:szCs w:val="26"/>
          <w:rtl/>
        </w:rPr>
        <w:t>,</w:t>
      </w:r>
      <w:r w:rsidR="008341C1">
        <w:rPr>
          <w:rFonts w:hint="cs"/>
          <w:color w:val="000000"/>
          <w:sz w:val="26"/>
          <w:szCs w:val="26"/>
          <w:rtl/>
        </w:rPr>
        <w:t xml:space="preserve"> עסק זעיר הוא עסק </w:t>
      </w:r>
      <w:r w:rsidR="006F0E07" w:rsidRPr="006A6B66">
        <w:rPr>
          <w:rFonts w:hint="cs"/>
          <w:color w:val="000000"/>
          <w:sz w:val="26"/>
          <w:szCs w:val="26"/>
          <w:rtl/>
        </w:rPr>
        <w:t>ה</w:t>
      </w:r>
      <w:r w:rsidR="006F0E07" w:rsidRPr="006A6B66">
        <w:rPr>
          <w:color w:val="000000"/>
          <w:sz w:val="26"/>
          <w:szCs w:val="26"/>
          <w:rtl/>
        </w:rPr>
        <w:t>מעסיק עד חמישה עובדים או שמחזור העסקאות השנתי שלו אינו עולה על 2 מיליון שקלים חדשים</w:t>
      </w:r>
      <w:r w:rsidR="006F0E07">
        <w:rPr>
          <w:rFonts w:hint="cs"/>
          <w:color w:val="000000"/>
          <w:sz w:val="26"/>
          <w:szCs w:val="26"/>
          <w:rtl/>
        </w:rPr>
        <w:t xml:space="preserve">. </w:t>
      </w:r>
      <w:r>
        <w:rPr>
          <w:rFonts w:hint="cs"/>
          <w:color w:val="000000"/>
          <w:sz w:val="26"/>
          <w:szCs w:val="26"/>
          <w:rtl/>
        </w:rPr>
        <w:t xml:space="preserve">עסק קטן הוא </w:t>
      </w:r>
      <w:r w:rsidRPr="0020144A">
        <w:rPr>
          <w:color w:val="000000"/>
          <w:sz w:val="26"/>
          <w:szCs w:val="26"/>
          <w:rtl/>
        </w:rPr>
        <w:t xml:space="preserve">הוא עסק </w:t>
      </w:r>
      <w:r w:rsidRPr="0020144A">
        <w:rPr>
          <w:rFonts w:hint="eastAsia"/>
          <w:color w:val="000000"/>
          <w:sz w:val="26"/>
          <w:szCs w:val="26"/>
          <w:rtl/>
        </w:rPr>
        <w:t>ה</w:t>
      </w:r>
      <w:r w:rsidRPr="0020144A">
        <w:rPr>
          <w:color w:val="000000"/>
          <w:sz w:val="26"/>
          <w:szCs w:val="26"/>
          <w:rtl/>
        </w:rPr>
        <w:t xml:space="preserve">מעסיק בין שישה ל-20 עובדים או שמחזור </w:t>
      </w:r>
      <w:r w:rsidRPr="0020144A">
        <w:rPr>
          <w:color w:val="000000"/>
          <w:sz w:val="26"/>
          <w:szCs w:val="26"/>
          <w:rtl/>
        </w:rPr>
        <w:lastRenderedPageBreak/>
        <w:t>העסקאות השנתי שלו עולה על 2 מיליון שקלים חדשים אך אינו עולה על 20 מיליון שקלים חדשים, ולא מתקיים לגביו אחד התנאים שבהגדרה "עסק זעיר".</w:t>
      </w:r>
      <w:r>
        <w:rPr>
          <w:rFonts w:hint="cs"/>
          <w:color w:val="000000"/>
          <w:sz w:val="26"/>
          <w:szCs w:val="26"/>
          <w:rtl/>
        </w:rPr>
        <w:t xml:space="preserve"> </w:t>
      </w:r>
      <w:r w:rsidR="00C5500C">
        <w:rPr>
          <w:rFonts w:hint="cs"/>
          <w:color w:val="000000"/>
          <w:sz w:val="26"/>
          <w:szCs w:val="26"/>
          <w:rtl/>
        </w:rPr>
        <w:t xml:space="preserve">לעניין </w:t>
      </w:r>
      <w:r>
        <w:rPr>
          <w:rFonts w:hint="cs"/>
          <w:color w:val="000000"/>
          <w:sz w:val="26"/>
          <w:szCs w:val="26"/>
          <w:rtl/>
        </w:rPr>
        <w:t>עסק בינוני</w:t>
      </w:r>
      <w:r w:rsidR="00C5500C">
        <w:rPr>
          <w:rFonts w:hint="cs"/>
          <w:color w:val="000000"/>
          <w:sz w:val="26"/>
          <w:szCs w:val="26"/>
          <w:rtl/>
        </w:rPr>
        <w:t>, מוצע להגדירו בשונה מחוק חובת המכרזים, כך שעסק בינוני לצורך חוק תובענות ייצוגיות יהיה</w:t>
      </w:r>
      <w:r>
        <w:rPr>
          <w:rFonts w:hint="cs"/>
          <w:color w:val="000000"/>
          <w:sz w:val="26"/>
          <w:szCs w:val="26"/>
          <w:rtl/>
        </w:rPr>
        <w:t xml:space="preserve"> עסק </w:t>
      </w:r>
      <w:r w:rsidRPr="0020144A">
        <w:rPr>
          <w:color w:val="000000"/>
          <w:sz w:val="26"/>
          <w:szCs w:val="26"/>
          <w:rtl/>
        </w:rPr>
        <w:t xml:space="preserve">שמחזור העסקאות השנתי שלו עולה על 20 מיליון שקלים חדשים אך אינו עולה על </w:t>
      </w:r>
      <w:r w:rsidR="0026723B">
        <w:rPr>
          <w:rFonts w:hint="cs"/>
          <w:color w:val="000000"/>
          <w:sz w:val="26"/>
          <w:szCs w:val="26"/>
          <w:rtl/>
        </w:rPr>
        <w:t>50</w:t>
      </w:r>
      <w:r w:rsidR="00C5500C" w:rsidRPr="0020144A">
        <w:rPr>
          <w:color w:val="000000"/>
          <w:sz w:val="26"/>
          <w:szCs w:val="26"/>
          <w:rtl/>
        </w:rPr>
        <w:t xml:space="preserve"> </w:t>
      </w:r>
      <w:r w:rsidRPr="0020144A">
        <w:rPr>
          <w:color w:val="000000"/>
          <w:sz w:val="26"/>
          <w:szCs w:val="26"/>
          <w:rtl/>
        </w:rPr>
        <w:t>מיליון שקלים חדשים, ולא מתקיים לגביו אחד התנאים שבהגדרה "עסק זעיר" או "עסק קטן</w:t>
      </w:r>
      <w:r w:rsidRPr="0020144A">
        <w:rPr>
          <w:color w:val="000000"/>
          <w:sz w:val="26"/>
          <w:szCs w:val="26"/>
        </w:rPr>
        <w:t>"</w:t>
      </w:r>
      <w:r>
        <w:rPr>
          <w:rFonts w:hint="cs"/>
          <w:color w:val="000000"/>
          <w:sz w:val="26"/>
          <w:szCs w:val="26"/>
          <w:rtl/>
        </w:rPr>
        <w:t>.</w:t>
      </w:r>
    </w:p>
    <w:p w14:paraId="0581DDF9" w14:textId="1EB19095" w:rsidR="00420681" w:rsidRDefault="00420681" w:rsidP="00420681">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סעיף 2</w:t>
      </w:r>
    </w:p>
    <w:p w14:paraId="1D0472A8" w14:textId="487FD248" w:rsidR="00D9153B" w:rsidRPr="00D9153B" w:rsidRDefault="00D9153B" w:rsidP="00420681">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לפסקה (1)</w:t>
      </w:r>
    </w:p>
    <w:p w14:paraId="06E1125A" w14:textId="77777777" w:rsidR="00E47DED" w:rsidRPr="00C90E2A" w:rsidRDefault="00E47DED" w:rsidP="00C90E2A">
      <w:pPr>
        <w:pStyle w:val="Hesber1st"/>
        <w:tabs>
          <w:tab w:val="clear" w:pos="680"/>
        </w:tabs>
        <w:rPr>
          <w:rtl/>
        </w:rPr>
      </w:pPr>
      <w:r w:rsidRPr="00C90E2A">
        <w:rPr>
          <w:rtl/>
        </w:rPr>
        <w:t xml:space="preserve">מוצע לתקן את סעיף 3 לחוק תובענות ייצוגיות שעניינו הגשת תובענה ייצוגית. סעיף 3(א) לחוק תובענות ייצוגיות קובע בין השאר, כי לא ניתן יהיה להגיש כנגד רשות תובענה ייצוגית לפיצויים בגין נזק שנגרם על ידי צד שלישי, בשל כך שהרשות הפעילה או לא הפעילה ביחס אליו את סמכויות הפיקוח, ההסדרה או האכיפה שלה.   </w:t>
      </w:r>
    </w:p>
    <w:p w14:paraId="0389AD5D" w14:textId="0964AB88" w:rsidR="00E47DED" w:rsidRPr="00C90E2A" w:rsidRDefault="00E47DED" w:rsidP="00C90E2A">
      <w:pPr>
        <w:pStyle w:val="Hesber1st"/>
        <w:tabs>
          <w:tab w:val="clear" w:pos="680"/>
        </w:tabs>
        <w:rPr>
          <w:rtl/>
        </w:rPr>
      </w:pPr>
      <w:r w:rsidRPr="00C90E2A">
        <w:rPr>
          <w:rtl/>
        </w:rPr>
        <w:t>בע"א 7115/14 שרון סירוגה-</w:t>
      </w:r>
      <w:proofErr w:type="spellStart"/>
      <w:r w:rsidRPr="00C90E2A">
        <w:rPr>
          <w:rtl/>
        </w:rPr>
        <w:t>ברניר</w:t>
      </w:r>
      <w:proofErr w:type="spellEnd"/>
      <w:r w:rsidRPr="00C90E2A">
        <w:t> </w:t>
      </w:r>
      <w:r w:rsidRPr="00C90E2A">
        <w:rPr>
          <w:rtl/>
        </w:rPr>
        <w:t>נ'</w:t>
      </w:r>
      <w:r w:rsidRPr="00C90E2A">
        <w:t> </w:t>
      </w:r>
      <w:r w:rsidRPr="00C90E2A">
        <w:rPr>
          <w:rtl/>
        </w:rPr>
        <w:t xml:space="preserve">סלקום ישראל בע"מ (פורסם </w:t>
      </w:r>
      <w:proofErr w:type="spellStart"/>
      <w:r w:rsidRPr="00C90E2A">
        <w:rPr>
          <w:rtl/>
        </w:rPr>
        <w:t>באר"ש</w:t>
      </w:r>
      <w:proofErr w:type="spellEnd"/>
      <w:r w:rsidR="001D4B52">
        <w:rPr>
          <w:rFonts w:hint="cs"/>
          <w:rtl/>
        </w:rPr>
        <w:t>,</w:t>
      </w:r>
      <w:r w:rsidRPr="00C90E2A">
        <w:rPr>
          <w:rtl/>
        </w:rPr>
        <w:t xml:space="preserve"> 3.7.2017) (להלן - עניין סירוגה), בית המשפט העליון פסק כי </w:t>
      </w:r>
      <w:proofErr w:type="spellStart"/>
      <w:r w:rsidRPr="00C90E2A">
        <w:rPr>
          <w:rtl/>
        </w:rPr>
        <w:t>משלא</w:t>
      </w:r>
      <w:proofErr w:type="spellEnd"/>
      <w:r w:rsidRPr="00C90E2A">
        <w:rPr>
          <w:rtl/>
        </w:rPr>
        <w:t xml:space="preserve"> נקבעה בחוק תובענות ייצוגיות הוראה ברורה ומפורשת בעניין זה, אין מקום לשלול מגופים פרטיים אשר נגדם ננקטו הליכים ייצוגיים את הזכות להגיש הודעת צד שלישי נגד רשות, בשל </w:t>
      </w:r>
      <w:proofErr w:type="spellStart"/>
      <w:r w:rsidRPr="00C90E2A">
        <w:rPr>
          <w:rtl/>
        </w:rPr>
        <w:t>הסעדים</w:t>
      </w:r>
      <w:proofErr w:type="spellEnd"/>
      <w:r w:rsidRPr="00C90E2A">
        <w:rPr>
          <w:rtl/>
        </w:rPr>
        <w:t xml:space="preserve"> שבהם יחויבו בהליך הייצוגי. כלומר לפי פסק דין זה, ניתן יהיה להגיש הודעת צד שלישי נגד הרשות גם כאשר מדובר בעילה שמלכתחילה לא ניתן היה להגיש בשלה תובענה ייצוגית נגד הרשות, כמו למשל, במקרים שבהם הרשות </w:t>
      </w:r>
      <w:proofErr w:type="spellStart"/>
      <w:r w:rsidRPr="00C90E2A">
        <w:rPr>
          <w:rtl/>
        </w:rPr>
        <w:t>היתה</w:t>
      </w:r>
      <w:proofErr w:type="spellEnd"/>
      <w:r w:rsidRPr="00C90E2A">
        <w:rPr>
          <w:rtl/>
        </w:rPr>
        <w:t xml:space="preserve"> גורם מאסדר, וחלה לגביה ההגנה הקבועה בסעיף 3(א) לחוק תובענות ייצוגיות. </w:t>
      </w:r>
    </w:p>
    <w:p w14:paraId="53CC71C5" w14:textId="4AB3F3A3" w:rsidR="00E47DED" w:rsidRPr="00C90E2A" w:rsidRDefault="00E47DED" w:rsidP="00C90E2A">
      <w:pPr>
        <w:pStyle w:val="Hesber1st"/>
        <w:tabs>
          <w:tab w:val="clear" w:pos="680"/>
        </w:tabs>
        <w:rPr>
          <w:rtl/>
        </w:rPr>
      </w:pPr>
      <w:r w:rsidRPr="00C90E2A">
        <w:rPr>
          <w:rtl/>
        </w:rPr>
        <w:t xml:space="preserve">לפיכך, מוצע </w:t>
      </w:r>
      <w:proofErr w:type="spellStart"/>
      <w:r w:rsidRPr="00C90E2A">
        <w:rPr>
          <w:rtl/>
        </w:rPr>
        <w:t>איפוא</w:t>
      </w:r>
      <w:proofErr w:type="spellEnd"/>
      <w:r w:rsidRPr="00C90E2A">
        <w:rPr>
          <w:rtl/>
        </w:rPr>
        <w:t xml:space="preserve"> לתקן את חוק תובענות ייצוגיות ולקבוע שלא ניתן יהיה להגיש הודעת צד שלישי נגד רשות במסגרת של תובענה ייצוגית במקרים שבהם לא ניתן לתבוע את הרשות בתובענה ייצוגית. זאת כדי לשמר את האיזון העדין שבין </w:t>
      </w:r>
      <w:r w:rsidR="00E73F86">
        <w:rPr>
          <w:rFonts w:hint="cs"/>
          <w:rtl/>
        </w:rPr>
        <w:t>תחולת חוק</w:t>
      </w:r>
      <w:r w:rsidRPr="00C90E2A">
        <w:rPr>
          <w:rtl/>
        </w:rPr>
        <w:t xml:space="preserve"> תובענות ייצוגיות </w:t>
      </w:r>
      <w:r w:rsidR="00E73F86">
        <w:rPr>
          <w:rFonts w:hint="cs"/>
          <w:rtl/>
        </w:rPr>
        <w:t xml:space="preserve">על רשויות, </w:t>
      </w:r>
      <w:r w:rsidRPr="00C90E2A">
        <w:rPr>
          <w:rtl/>
        </w:rPr>
        <w:t>לבין ההגנות המוקנות ל</w:t>
      </w:r>
      <w:r w:rsidR="00E73F86">
        <w:rPr>
          <w:rFonts w:hint="cs"/>
          <w:rtl/>
        </w:rPr>
        <w:t>רשות</w:t>
      </w:r>
      <w:r w:rsidRPr="00C90E2A">
        <w:rPr>
          <w:rtl/>
        </w:rPr>
        <w:t xml:space="preserve"> בחוק תובענות ייצוגיות</w:t>
      </w:r>
      <w:r w:rsidR="00E73F86">
        <w:rPr>
          <w:rFonts w:hint="cs"/>
          <w:rtl/>
        </w:rPr>
        <w:t>, וזאת</w:t>
      </w:r>
      <w:r w:rsidRPr="00C90E2A">
        <w:rPr>
          <w:rtl/>
        </w:rPr>
        <w:t xml:space="preserve"> לשם שמירה על הוודאות והיציבות של התקציב הציבורי</w:t>
      </w:r>
      <w:r w:rsidR="00325196">
        <w:rPr>
          <w:rFonts w:hint="cs"/>
          <w:rtl/>
        </w:rPr>
        <w:t>.</w:t>
      </w:r>
      <w:r w:rsidR="001C5BD0">
        <w:rPr>
          <w:rtl/>
        </w:rPr>
        <w:t xml:space="preserve"> </w:t>
      </w:r>
      <w:r w:rsidRPr="00C90E2A">
        <w:rPr>
          <w:rtl/>
        </w:rPr>
        <w:t>במתן אפשרות להגיש הודעת צד שלישי נגד הרשות עולה החשש שהמדינה ורשויותיה יצורפו כעניין שבשגרה בתור נתבעות בתובענות ייצוגיות בשל היותן "כיס עמוק" להיפרע ממנו ובכך הוודאות והיציבות התקציבית של רשויות המדינה תיפגע, דבר שיוביל לפגיעה באינטרס הציבורי הרחב.</w:t>
      </w:r>
    </w:p>
    <w:p w14:paraId="65357A1E" w14:textId="258900D6" w:rsidR="00E47DED" w:rsidRPr="00C90E2A" w:rsidRDefault="00E47DED" w:rsidP="00C90E2A">
      <w:pPr>
        <w:pStyle w:val="Hesber1st"/>
        <w:tabs>
          <w:tab w:val="clear" w:pos="680"/>
        </w:tabs>
        <w:rPr>
          <w:rtl/>
        </w:rPr>
      </w:pPr>
      <w:r w:rsidRPr="00C90E2A">
        <w:rPr>
          <w:rtl/>
        </w:rPr>
        <w:t xml:space="preserve">יובהר כי לאחר ההכרעה בתובענה הייצוגית פתוחה הדרך לנתבע להגיש תביעת שיפוי נגד הרשות, וזכות הגישה של הנתבע לערכאות אינה נפגעת. עוד חשוב להבהיר כי הסעיף המוצע אינו שולל הגשת תביעה נגד הרשות או הגשת עתירה לבית המשפט לעניינים מנהליים או לבג"ץ, </w:t>
      </w:r>
      <w:r w:rsidR="004D13F0">
        <w:rPr>
          <w:rFonts w:hint="cs"/>
          <w:rtl/>
        </w:rPr>
        <w:t xml:space="preserve">שיכולה </w:t>
      </w:r>
      <w:r w:rsidRPr="00C90E2A">
        <w:rPr>
          <w:rtl/>
        </w:rPr>
        <w:t xml:space="preserve">להשיג תוצאה דומה, בחלק מהמקרים, לתובענה ייצוגית. </w:t>
      </w:r>
    </w:p>
    <w:p w14:paraId="4F9AABC9" w14:textId="13F1CCCA" w:rsidR="00E47DED" w:rsidRDefault="00E47DED" w:rsidP="00C90E2A">
      <w:pPr>
        <w:pStyle w:val="Hesber1st"/>
        <w:tabs>
          <w:tab w:val="clear" w:pos="680"/>
        </w:tabs>
        <w:rPr>
          <w:rtl/>
        </w:rPr>
      </w:pPr>
      <w:r w:rsidRPr="00C90E2A">
        <w:rPr>
          <w:rtl/>
        </w:rPr>
        <w:t>כמו כן, מאחר שמוצע כאמור לעיל להוסיף לסעיף 3(א) לחוק תובענות ייצוגיות הוראה שעניינה הודעת צד שלישי, כמשמעותה בתקנה 22 לתקנות סדר הדין האזרחי, התשע"ט-2018, מוצע להבהיר את נוסח הסעיף הקיים כך שבמקום לכנות</w:t>
      </w:r>
      <w:r w:rsidR="004D13F0">
        <w:rPr>
          <w:rFonts w:hint="cs"/>
          <w:rtl/>
        </w:rPr>
        <w:t>ו כ</w:t>
      </w:r>
      <w:r w:rsidRPr="00C90E2A">
        <w:rPr>
          <w:rtl/>
        </w:rPr>
        <w:t xml:space="preserve">"צד שלישי" הוא יכונה "צד אחר".  </w:t>
      </w:r>
    </w:p>
    <w:p w14:paraId="108FD5AF" w14:textId="6B90B6B4" w:rsidR="00DC239E" w:rsidRDefault="00DC239E" w:rsidP="00C90E2A">
      <w:pPr>
        <w:pStyle w:val="Hesber1st"/>
        <w:tabs>
          <w:tab w:val="clear" w:pos="680"/>
        </w:tabs>
        <w:rPr>
          <w:b/>
          <w:bCs/>
          <w:rtl/>
        </w:rPr>
      </w:pPr>
      <w:r w:rsidRPr="00DC239E">
        <w:rPr>
          <w:rFonts w:hint="cs"/>
          <w:b/>
          <w:bCs/>
          <w:rtl/>
        </w:rPr>
        <w:t>לפסקה (2)</w:t>
      </w:r>
    </w:p>
    <w:p w14:paraId="29BE0ED4" w14:textId="12074CC5" w:rsidR="00DC239E" w:rsidRDefault="00DC239E" w:rsidP="00AC477A">
      <w:pPr>
        <w:pStyle w:val="Hesber1st"/>
        <w:tabs>
          <w:tab w:val="clear" w:pos="680"/>
        </w:tabs>
        <w:rPr>
          <w:rtl/>
        </w:rPr>
      </w:pPr>
      <w:r>
        <w:rPr>
          <w:rFonts w:hint="cs"/>
          <w:rtl/>
        </w:rPr>
        <w:t xml:space="preserve">מוצע להוסיף לחוק את סעיף 3(א1) שעניינו בהסדרת תביעות לצו עשה בעילות </w:t>
      </w:r>
      <w:proofErr w:type="spellStart"/>
      <w:r>
        <w:rPr>
          <w:rFonts w:hint="cs"/>
          <w:rtl/>
        </w:rPr>
        <w:t>מסויימות</w:t>
      </w:r>
      <w:proofErr w:type="spellEnd"/>
      <w:r w:rsidR="00AC477A">
        <w:rPr>
          <w:rFonts w:hint="cs"/>
          <w:rtl/>
        </w:rPr>
        <w:t xml:space="preserve"> שיפורטו בתוספת הרביעית לחוק, שהוגשו כנגד עסק זעיר. תביעות אלו יכונו "תובענה בהליך מותאם" ובהן תהיה חובת פניה מוקדמת לפני הגשת תובענה ייצוגית ובכל מקרה התובענה הייצוגית במקרים אלו תהיה לצו עשה בלבד. </w:t>
      </w:r>
      <w:r w:rsidR="00AC477A">
        <w:rPr>
          <w:rFonts w:hint="cs"/>
          <w:rtl/>
        </w:rPr>
        <w:lastRenderedPageBreak/>
        <w:t>להלן יפורט ההסדר בהרחבה.</w:t>
      </w:r>
    </w:p>
    <w:p w14:paraId="0837E1F1" w14:textId="33F49A51" w:rsidR="00DC239E" w:rsidRPr="00F32692" w:rsidRDefault="00E44DC7" w:rsidP="009A5809">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אחת הבעיות ה</w:t>
      </w:r>
      <w:r w:rsidR="00DC239E">
        <w:rPr>
          <w:rFonts w:hint="cs"/>
          <w:color w:val="000000"/>
          <w:sz w:val="26"/>
          <w:szCs w:val="26"/>
          <w:rtl/>
        </w:rPr>
        <w:t>מרכזי</w:t>
      </w:r>
      <w:r>
        <w:rPr>
          <w:rFonts w:hint="cs"/>
          <w:color w:val="000000"/>
          <w:sz w:val="26"/>
          <w:szCs w:val="26"/>
          <w:rtl/>
        </w:rPr>
        <w:t>ו</w:t>
      </w:r>
      <w:r w:rsidR="00DC239E">
        <w:rPr>
          <w:rFonts w:hint="cs"/>
          <w:color w:val="000000"/>
          <w:sz w:val="26"/>
          <w:szCs w:val="26"/>
          <w:rtl/>
        </w:rPr>
        <w:t>ת בתחום התובענות הייצוגיות נוגעת לכך שחלק משמעותי מאוד מהתובענות הייצוגיות מסתיימות בבקשות הסתלקות</w:t>
      </w:r>
      <w:r>
        <w:rPr>
          <w:rFonts w:hint="cs"/>
          <w:color w:val="000000"/>
          <w:sz w:val="26"/>
          <w:szCs w:val="26"/>
          <w:rtl/>
        </w:rPr>
        <w:t xml:space="preserve"> של התובע הייצוגי, ללא פיצוי לחברי הקבוצה</w:t>
      </w:r>
      <w:r w:rsidR="00DC239E">
        <w:rPr>
          <w:rFonts w:hint="cs"/>
          <w:color w:val="000000"/>
          <w:sz w:val="26"/>
          <w:szCs w:val="26"/>
          <w:rtl/>
        </w:rPr>
        <w:t xml:space="preserve">. כך, בדו"ח הצוות הבין-משרדי צוין כי </w:t>
      </w:r>
      <w:r w:rsidR="009A5809" w:rsidRPr="009A5809">
        <w:rPr>
          <w:rFonts w:hint="cs"/>
          <w:color w:val="000000"/>
          <w:sz w:val="26"/>
          <w:szCs w:val="26"/>
          <w:rtl/>
        </w:rPr>
        <w:t xml:space="preserve">רק בכ-22% מההחלטות השיפוטיות </w:t>
      </w:r>
      <w:r w:rsidR="009A5809" w:rsidRPr="009A5809">
        <w:rPr>
          <w:color w:val="000000"/>
          <w:sz w:val="26"/>
          <w:szCs w:val="26"/>
          <w:rtl/>
        </w:rPr>
        <w:t xml:space="preserve">התוצאה </w:t>
      </w:r>
      <w:proofErr w:type="spellStart"/>
      <w:r w:rsidR="009A5809" w:rsidRPr="009A5809">
        <w:rPr>
          <w:color w:val="000000"/>
          <w:sz w:val="26"/>
          <w:szCs w:val="26"/>
          <w:rtl/>
        </w:rPr>
        <w:t>היתה</w:t>
      </w:r>
      <w:proofErr w:type="spellEnd"/>
      <w:r w:rsidR="009A5809" w:rsidRPr="009A5809">
        <w:rPr>
          <w:color w:val="000000"/>
          <w:sz w:val="26"/>
          <w:szCs w:val="26"/>
          <w:rtl/>
        </w:rPr>
        <w:t xml:space="preserve"> קבלת התובענה או סיומה בתוצאה המיטיבה עם הקבוצה המיוצגת (בפשרה, חדילה, או קבלת התובענה). בכל יתר התיקים שהסתיימו, התובענה הסתיימה בהסתלקות התובע, מחיקה או דחיית הבקשה לאישור, דחיית התובענה הייצוגית וסילוק על הסף.</w:t>
      </w:r>
      <w:r w:rsidR="00DC239E">
        <w:rPr>
          <w:rFonts w:hint="cs"/>
          <w:color w:val="000000"/>
          <w:sz w:val="26"/>
          <w:szCs w:val="26"/>
          <w:rtl/>
        </w:rPr>
        <w:t xml:space="preserve"> כלומר, מרבית תיקי התובענות הייצוגיות מסתיימים ללא סעד לציבור ולמעשה בבקשה למחיקת ההליך. במסגרת עבודת הצוות הבין-משרדי נערכה הבחנה בין סוגי התיקים שמסתיימים בהסתלקות. כך, יש תביעות המסתיימות בהסתלקות כאשר מלכתחילה לא הייתה עילה ("תביעות הסרק") </w:t>
      </w:r>
      <w:r w:rsidR="00DC239E" w:rsidRPr="00C9173C">
        <w:rPr>
          <w:rFonts w:hint="cs"/>
          <w:color w:val="000000"/>
          <w:sz w:val="26"/>
          <w:szCs w:val="26"/>
          <w:rtl/>
        </w:rPr>
        <w:t xml:space="preserve">לבין תביעות המוגשות ביחס להפרה של הוראות הדין ומסתיימות בהסתלקות תוך התחייבות הנתבע לתיקון ההפרה. </w:t>
      </w:r>
      <w:r w:rsidR="00DC239E">
        <w:rPr>
          <w:rFonts w:hint="cs"/>
          <w:color w:val="000000"/>
          <w:sz w:val="26"/>
          <w:szCs w:val="26"/>
          <w:rtl/>
        </w:rPr>
        <w:t xml:space="preserve">ביחס לאחרונות, מדובר על תביעות המוגשות ביחס להפרה </w:t>
      </w:r>
      <w:r w:rsidR="00DC239E" w:rsidRPr="00C9173C">
        <w:rPr>
          <w:rFonts w:hint="cs"/>
          <w:color w:val="000000"/>
          <w:sz w:val="26"/>
          <w:szCs w:val="26"/>
          <w:rtl/>
        </w:rPr>
        <w:t xml:space="preserve">של הוראות רגולטוריות, </w:t>
      </w:r>
      <w:r w:rsidR="00DC239E" w:rsidRPr="00C9173C">
        <w:rPr>
          <w:color w:val="000000"/>
          <w:sz w:val="26"/>
          <w:szCs w:val="26"/>
          <w:rtl/>
        </w:rPr>
        <w:t xml:space="preserve">לעיתים </w:t>
      </w:r>
      <w:r w:rsidR="004D13F0">
        <w:rPr>
          <w:rFonts w:hint="cs"/>
          <w:color w:val="000000"/>
          <w:sz w:val="26"/>
          <w:szCs w:val="26"/>
          <w:rtl/>
        </w:rPr>
        <w:t xml:space="preserve">קלות ערך </w:t>
      </w:r>
      <w:r w:rsidR="00DC239E">
        <w:rPr>
          <w:rFonts w:hint="cs"/>
          <w:color w:val="000000"/>
          <w:sz w:val="26"/>
          <w:szCs w:val="26"/>
          <w:rtl/>
        </w:rPr>
        <w:t>או אשר ניתנות לתיקון באופן פשוט ומיידי</w:t>
      </w:r>
      <w:r w:rsidR="00DC239E" w:rsidRPr="00C9173C">
        <w:rPr>
          <w:color w:val="000000"/>
          <w:sz w:val="26"/>
          <w:szCs w:val="26"/>
          <w:rtl/>
        </w:rPr>
        <w:t xml:space="preserve">, כאשר </w:t>
      </w:r>
      <w:r w:rsidR="00DC239E" w:rsidRPr="00C9173C">
        <w:rPr>
          <w:rFonts w:hint="cs"/>
          <w:color w:val="000000"/>
          <w:sz w:val="26"/>
          <w:szCs w:val="26"/>
          <w:rtl/>
        </w:rPr>
        <w:t xml:space="preserve">בחלקן </w:t>
      </w:r>
      <w:r w:rsidR="00DC239E" w:rsidRPr="00C9173C">
        <w:rPr>
          <w:color w:val="000000"/>
          <w:sz w:val="26"/>
          <w:szCs w:val="26"/>
          <w:rtl/>
        </w:rPr>
        <w:t xml:space="preserve">לא </w:t>
      </w:r>
      <w:r w:rsidR="006F7561">
        <w:rPr>
          <w:rFonts w:hint="cs"/>
          <w:color w:val="000000"/>
          <w:sz w:val="26"/>
          <w:szCs w:val="26"/>
          <w:rtl/>
        </w:rPr>
        <w:t>נגרם נזק משמעותי</w:t>
      </w:r>
      <w:r w:rsidR="00DC239E" w:rsidRPr="00C9173C">
        <w:rPr>
          <w:color w:val="000000"/>
          <w:sz w:val="26"/>
          <w:szCs w:val="26"/>
          <w:rtl/>
        </w:rPr>
        <w:t xml:space="preserve"> לחברי הקבוצה, אם בכלל.</w:t>
      </w:r>
      <w:r w:rsidR="00DC239E" w:rsidRPr="00C9173C">
        <w:rPr>
          <w:rFonts w:hint="cs"/>
          <w:color w:val="000000"/>
          <w:sz w:val="26"/>
          <w:szCs w:val="26"/>
          <w:rtl/>
        </w:rPr>
        <w:t xml:space="preserve"> בתביעות אלו, ככלל, ככל שהנתבע מוכ</w:t>
      </w:r>
      <w:r w:rsidR="00E75E6A">
        <w:rPr>
          <w:rFonts w:hint="cs"/>
          <w:color w:val="000000"/>
          <w:sz w:val="26"/>
          <w:szCs w:val="26"/>
          <w:rtl/>
        </w:rPr>
        <w:t>ן</w:t>
      </w:r>
      <w:r w:rsidR="00DC239E" w:rsidRPr="00C9173C">
        <w:rPr>
          <w:rFonts w:hint="cs"/>
          <w:color w:val="000000"/>
          <w:sz w:val="26"/>
          <w:szCs w:val="26"/>
          <w:rtl/>
        </w:rPr>
        <w:t xml:space="preserve"> לתקן את התנהלות</w:t>
      </w:r>
      <w:r w:rsidR="00E75E6A">
        <w:rPr>
          <w:rFonts w:hint="cs"/>
          <w:color w:val="000000"/>
          <w:sz w:val="26"/>
          <w:szCs w:val="26"/>
          <w:rtl/>
        </w:rPr>
        <w:t>ו</w:t>
      </w:r>
      <w:r w:rsidR="00DC239E" w:rsidRPr="00C9173C">
        <w:rPr>
          <w:rFonts w:hint="cs"/>
          <w:color w:val="000000"/>
          <w:sz w:val="26"/>
          <w:szCs w:val="26"/>
          <w:rtl/>
        </w:rPr>
        <w:t xml:space="preserve"> ביחס לעתיד, אין עוד טעם בניהול התובענה כייצוגית</w:t>
      </w:r>
      <w:r w:rsidR="00DC239E">
        <w:rPr>
          <w:rFonts w:hint="cs"/>
          <w:color w:val="000000"/>
          <w:sz w:val="26"/>
          <w:szCs w:val="26"/>
          <w:rtl/>
        </w:rPr>
        <w:t>,</w:t>
      </w:r>
      <w:r w:rsidR="00DC239E" w:rsidRPr="00C9173C">
        <w:rPr>
          <w:rFonts w:hint="cs"/>
          <w:color w:val="000000"/>
          <w:sz w:val="26"/>
          <w:szCs w:val="26"/>
          <w:rtl/>
        </w:rPr>
        <w:t xml:space="preserve"> שכן, כאמור, לא ברור האם נגרמו לחברי קבוצה נזקים המצדיקים מתן פיצוי. </w:t>
      </w:r>
      <w:r w:rsidR="00DC239E">
        <w:rPr>
          <w:rFonts w:hint="cs"/>
          <w:color w:val="000000"/>
          <w:sz w:val="26"/>
          <w:szCs w:val="26"/>
          <w:rtl/>
        </w:rPr>
        <w:t xml:space="preserve">המודל הכלכלי שעליו תביעות אלו מבוססות הוא הגשה מהירה של הרבה </w:t>
      </w:r>
      <w:r w:rsidR="00DC239E" w:rsidRPr="00C9173C">
        <w:rPr>
          <w:rFonts w:hint="cs"/>
          <w:color w:val="000000"/>
          <w:sz w:val="26"/>
          <w:szCs w:val="26"/>
          <w:rtl/>
        </w:rPr>
        <w:t xml:space="preserve">תביעות פשוטות, </w:t>
      </w:r>
      <w:r>
        <w:rPr>
          <w:rFonts w:hint="cs"/>
          <w:color w:val="000000"/>
          <w:sz w:val="26"/>
          <w:szCs w:val="26"/>
          <w:rtl/>
        </w:rPr>
        <w:t xml:space="preserve">על הפרות דין </w:t>
      </w:r>
      <w:r w:rsidR="009655BD">
        <w:rPr>
          <w:rFonts w:hint="cs"/>
          <w:color w:val="000000"/>
          <w:sz w:val="26"/>
          <w:szCs w:val="26"/>
          <w:rtl/>
        </w:rPr>
        <w:t xml:space="preserve">שניתנות לתיקון מהיר, </w:t>
      </w:r>
      <w:r w:rsidR="00DC239E" w:rsidRPr="00C9173C">
        <w:rPr>
          <w:rFonts w:hint="cs"/>
          <w:color w:val="000000"/>
          <w:sz w:val="26"/>
          <w:szCs w:val="26"/>
          <w:rtl/>
        </w:rPr>
        <w:t xml:space="preserve">במקרים רבים "תביעות משוכפלות", שלא על מנת לנהלן אלא על מנת להסתלק מהן, תוך כוונה מלכתחילה לקבל סכום כסף יחסית נמוך לשכר טרחה וגמול על כל תביעה תוך השקעה מינימלית בכל תביעה. </w:t>
      </w:r>
      <w:r w:rsidR="00DC239E">
        <w:rPr>
          <w:rFonts w:hint="cs"/>
          <w:color w:val="000000"/>
          <w:sz w:val="26"/>
          <w:szCs w:val="26"/>
          <w:rtl/>
        </w:rPr>
        <w:t>מסקנת הדו"ח הצוות הבין-משרדי בהקשר זה הייתה כי מנגנון התובענה הייצוגית הקלאסית אינו המנגנון המתאים לבירורן של תביעות אלו לאור העובדה שהן מסתיימות בתחילת ההליך</w:t>
      </w:r>
      <w:r w:rsidR="00D7010E">
        <w:rPr>
          <w:rFonts w:hint="cs"/>
          <w:color w:val="000000"/>
          <w:sz w:val="26"/>
          <w:szCs w:val="26"/>
          <w:rtl/>
        </w:rPr>
        <w:t>,</w:t>
      </w:r>
      <w:r w:rsidR="00DC239E">
        <w:rPr>
          <w:rFonts w:hint="cs"/>
          <w:color w:val="000000"/>
          <w:sz w:val="26"/>
          <w:szCs w:val="26"/>
          <w:rtl/>
        </w:rPr>
        <w:t xml:space="preserve"> ב</w:t>
      </w:r>
      <w:r w:rsidR="00D7010E">
        <w:rPr>
          <w:rFonts w:hint="cs"/>
          <w:color w:val="000000"/>
          <w:sz w:val="26"/>
          <w:szCs w:val="26"/>
          <w:rtl/>
        </w:rPr>
        <w:t xml:space="preserve">אמצעות </w:t>
      </w:r>
      <w:r w:rsidR="00DC239E">
        <w:rPr>
          <w:rFonts w:hint="cs"/>
          <w:color w:val="000000"/>
          <w:sz w:val="26"/>
          <w:szCs w:val="26"/>
          <w:rtl/>
        </w:rPr>
        <w:t>בקשה למחיקת ההליך</w:t>
      </w:r>
      <w:r w:rsidR="00D7010E">
        <w:rPr>
          <w:rFonts w:hint="cs"/>
          <w:color w:val="000000"/>
          <w:sz w:val="26"/>
          <w:szCs w:val="26"/>
          <w:rtl/>
        </w:rPr>
        <w:t>. כמו כן יש לתת את הדעת לכך</w:t>
      </w:r>
      <w:r w:rsidR="001C5BD0">
        <w:rPr>
          <w:rFonts w:hint="cs"/>
          <w:color w:val="000000"/>
          <w:sz w:val="26"/>
          <w:szCs w:val="26"/>
          <w:rtl/>
        </w:rPr>
        <w:t xml:space="preserve"> </w:t>
      </w:r>
      <w:r w:rsidR="00D7010E">
        <w:rPr>
          <w:rFonts w:hint="cs"/>
          <w:color w:val="000000"/>
          <w:sz w:val="26"/>
          <w:szCs w:val="26"/>
          <w:rtl/>
        </w:rPr>
        <w:t>ש</w:t>
      </w:r>
      <w:r w:rsidR="00DC239E">
        <w:rPr>
          <w:rFonts w:hint="cs"/>
          <w:color w:val="000000"/>
          <w:sz w:val="26"/>
          <w:szCs w:val="26"/>
          <w:rtl/>
        </w:rPr>
        <w:t xml:space="preserve">מנגנון התובענה הייצוגית הוא מנגנון מורכב ויקר, </w:t>
      </w:r>
      <w:r w:rsidR="00DC239E" w:rsidRPr="00062AC7">
        <w:rPr>
          <w:rFonts w:hint="cs"/>
          <w:color w:val="000000"/>
          <w:sz w:val="26"/>
          <w:szCs w:val="26"/>
          <w:rtl/>
        </w:rPr>
        <w:t xml:space="preserve">הן לאור העלויות של </w:t>
      </w:r>
      <w:r w:rsidR="00E75E6A">
        <w:rPr>
          <w:rFonts w:hint="cs"/>
          <w:color w:val="000000"/>
          <w:sz w:val="26"/>
          <w:szCs w:val="26"/>
          <w:rtl/>
        </w:rPr>
        <w:t>נתבעים</w:t>
      </w:r>
      <w:r w:rsidR="00E75E6A" w:rsidRPr="00062AC7">
        <w:rPr>
          <w:rFonts w:hint="cs"/>
          <w:color w:val="000000"/>
          <w:sz w:val="26"/>
          <w:szCs w:val="26"/>
          <w:rtl/>
        </w:rPr>
        <w:t xml:space="preserve"> </w:t>
      </w:r>
      <w:r w:rsidR="00DC239E" w:rsidRPr="00062AC7">
        <w:rPr>
          <w:rFonts w:hint="cs"/>
          <w:color w:val="000000"/>
          <w:sz w:val="26"/>
          <w:szCs w:val="26"/>
          <w:rtl/>
        </w:rPr>
        <w:t>בניהול התיק גם כאשר הוא מסתיים בהסתלקות (כאשר ניתן להניח שעלויות אלו מגולגלות בחלקן אל הציבור) והן לאור העלויות של בקשות אלו למערכת המשפט</w:t>
      </w:r>
      <w:r w:rsidR="004D13F0">
        <w:rPr>
          <w:rFonts w:hint="cs"/>
          <w:color w:val="000000"/>
          <w:sz w:val="26"/>
          <w:szCs w:val="26"/>
          <w:rtl/>
        </w:rPr>
        <w:t xml:space="preserve"> </w:t>
      </w:r>
      <w:r w:rsidR="00DC239E" w:rsidRPr="00062AC7">
        <w:rPr>
          <w:rFonts w:hint="cs"/>
          <w:color w:val="000000"/>
          <w:sz w:val="26"/>
          <w:szCs w:val="26"/>
          <w:rtl/>
        </w:rPr>
        <w:t>הן עלויות ישירות הנובעות מניהול הליכים שלא לצורך והן עלויות עקיפות הנובעת מהעומס על בתי המשפט מתיקים אלו.</w:t>
      </w:r>
      <w:r w:rsidR="00DC239E">
        <w:rPr>
          <w:rFonts w:hint="cs"/>
          <w:color w:val="000000"/>
          <w:sz w:val="26"/>
          <w:szCs w:val="26"/>
          <w:rtl/>
        </w:rPr>
        <w:t xml:space="preserve"> לאור האמור, הצוות הבין-משרדי המליץ על הסדרת מסלול לתביעות לצו עשה בלבד וכן קביעת חובת </w:t>
      </w:r>
      <w:r w:rsidR="00DC239E" w:rsidRPr="00F32692">
        <w:rPr>
          <w:rFonts w:hint="cs"/>
          <w:color w:val="000000"/>
          <w:sz w:val="26"/>
          <w:szCs w:val="26"/>
          <w:rtl/>
        </w:rPr>
        <w:t xml:space="preserve">פנייה מוקדמת בתביעות לצו עשה.  </w:t>
      </w:r>
    </w:p>
    <w:p w14:paraId="62E389D4" w14:textId="3D18E0E2" w:rsidR="00DC239E" w:rsidRDefault="00DC239E" w:rsidP="00DC239E">
      <w:pPr>
        <w:pStyle w:val="Hesber"/>
        <w:ind w:firstLine="0"/>
        <w:rPr>
          <w:color w:val="000000"/>
          <w:sz w:val="26"/>
          <w:rtl/>
        </w:rPr>
      </w:pPr>
      <w:r w:rsidRPr="00F32692">
        <w:rPr>
          <w:rFonts w:hint="cs"/>
          <w:color w:val="000000"/>
          <w:sz w:val="26"/>
          <w:rtl/>
        </w:rPr>
        <w:t xml:space="preserve">לאור האמור לעיל, מוצע לקבוע בסעיף 3(א1) לחוק כי </w:t>
      </w:r>
      <w:r w:rsidR="0014623E" w:rsidRPr="00F32692">
        <w:rPr>
          <w:rFonts w:hint="cs"/>
          <w:color w:val="000000"/>
          <w:sz w:val="26"/>
          <w:rtl/>
        </w:rPr>
        <w:t xml:space="preserve">תביעות </w:t>
      </w:r>
      <w:r w:rsidRPr="00F32692">
        <w:rPr>
          <w:rFonts w:hint="cs"/>
          <w:color w:val="000000"/>
          <w:sz w:val="26"/>
          <w:rtl/>
        </w:rPr>
        <w:t xml:space="preserve">בעילות אשר ייקבעו בתוספת הרביעית לחוק </w:t>
      </w:r>
      <w:r w:rsidR="00AC477A">
        <w:rPr>
          <w:rFonts w:hint="cs"/>
          <w:color w:val="000000"/>
          <w:sz w:val="26"/>
          <w:rtl/>
        </w:rPr>
        <w:t xml:space="preserve">כנגד עסק זעיר </w:t>
      </w:r>
      <w:r w:rsidRPr="00F32692">
        <w:rPr>
          <w:rFonts w:hint="cs"/>
          <w:color w:val="000000"/>
          <w:sz w:val="26"/>
          <w:rtl/>
        </w:rPr>
        <w:t>ינוהלו כתביעות לצו עשה, כך שלא תהיה אפשרות להגיש</w:t>
      </w:r>
      <w:r>
        <w:rPr>
          <w:rFonts w:hint="cs"/>
          <w:color w:val="000000"/>
          <w:sz w:val="26"/>
          <w:rtl/>
        </w:rPr>
        <w:t xml:space="preserve"> בהן תובענה ייצוגית לפיצויים. </w:t>
      </w:r>
      <w:r w:rsidR="001E05C1">
        <w:rPr>
          <w:rFonts w:hint="cs"/>
          <w:color w:val="000000"/>
          <w:sz w:val="26"/>
          <w:rtl/>
        </w:rPr>
        <w:t>מוצע להגדיר תביעות אלו "תובענה בהליך מותאם".</w:t>
      </w:r>
    </w:p>
    <w:p w14:paraId="00C3C018" w14:textId="0AE4E1CD" w:rsidR="00B653E7" w:rsidRDefault="00DC239E" w:rsidP="00BE1259">
      <w:pPr>
        <w:pStyle w:val="Hesber"/>
        <w:ind w:firstLine="0"/>
        <w:rPr>
          <w:color w:val="000000"/>
          <w:sz w:val="26"/>
          <w:rtl/>
        </w:rPr>
      </w:pPr>
      <w:r w:rsidRPr="00C3102A">
        <w:rPr>
          <w:rFonts w:hint="cs"/>
          <w:color w:val="000000"/>
          <w:sz w:val="26"/>
          <w:rtl/>
        </w:rPr>
        <w:t xml:space="preserve">מוצע לקבוע כי בתוספת הרביעית לחוק יכללו העילות הבאות </w:t>
      </w:r>
      <w:r w:rsidRPr="00C3102A">
        <w:rPr>
          <w:color w:val="000000"/>
          <w:sz w:val="26"/>
          <w:rtl/>
        </w:rPr>
        <w:t>–</w:t>
      </w:r>
      <w:r w:rsidRPr="00C3102A">
        <w:rPr>
          <w:rFonts w:hint="cs"/>
          <w:color w:val="000000"/>
          <w:sz w:val="26"/>
          <w:rtl/>
        </w:rPr>
        <w:t xml:space="preserve"> </w:t>
      </w:r>
      <w:r w:rsidR="00B653E7">
        <w:rPr>
          <w:rFonts w:hint="cs"/>
          <w:color w:val="000000"/>
          <w:sz w:val="26"/>
          <w:rtl/>
        </w:rPr>
        <w:t>תביעה לפי סעיף 30א לחוק התקשורת (בזק ושידורים), תשמ"ב-1982, מדובר על תביעות הנוגעות למשלוח של דברי פרסומת</w:t>
      </w:r>
      <w:r w:rsidR="00FD4D46">
        <w:rPr>
          <w:rFonts w:hint="cs"/>
          <w:color w:val="000000"/>
          <w:sz w:val="26"/>
          <w:rtl/>
        </w:rPr>
        <w:t>;</w:t>
      </w:r>
      <w:r w:rsidR="008E4023">
        <w:rPr>
          <w:rFonts w:hint="cs"/>
          <w:color w:val="000000"/>
          <w:sz w:val="26"/>
          <w:rtl/>
        </w:rPr>
        <w:t xml:space="preserve"> </w:t>
      </w:r>
      <w:r w:rsidR="00B653E7">
        <w:rPr>
          <w:rFonts w:hint="cs"/>
          <w:color w:val="000000"/>
          <w:sz w:val="26"/>
          <w:rtl/>
        </w:rPr>
        <w:t xml:space="preserve">תקנה 34 לתקנות שוויון </w:t>
      </w:r>
      <w:r w:rsidR="00B653E7" w:rsidRPr="00947D3F">
        <w:rPr>
          <w:rtl/>
        </w:rPr>
        <w:t>זכויות לאנשים עם מוגבלות (התאמות נגישות לשירות)</w:t>
      </w:r>
      <w:r w:rsidR="00BE1259">
        <w:rPr>
          <w:rFonts w:hint="cs"/>
          <w:color w:val="000000"/>
          <w:sz w:val="26"/>
          <w:rtl/>
        </w:rPr>
        <w:t>,</w:t>
      </w:r>
      <w:r w:rsidR="00AB2AAA">
        <w:rPr>
          <w:rFonts w:hint="cs"/>
          <w:color w:val="000000"/>
          <w:sz w:val="26"/>
          <w:rtl/>
        </w:rPr>
        <w:t xml:space="preserve"> </w:t>
      </w:r>
      <w:r w:rsidR="00BE1259">
        <w:rPr>
          <w:rFonts w:hint="cs"/>
          <w:color w:val="000000"/>
          <w:sz w:val="26"/>
          <w:rtl/>
        </w:rPr>
        <w:t xml:space="preserve">תשע"ג-2013 (להלן: תקנות שוויון </w:t>
      </w:r>
      <w:r w:rsidR="00BE1259" w:rsidRPr="00947D3F">
        <w:rPr>
          <w:rtl/>
        </w:rPr>
        <w:t>זכויות לאנשים עם מוגבלות (התאמות נגישות לשירות)</w:t>
      </w:r>
      <w:r w:rsidR="00BE1259">
        <w:rPr>
          <w:rFonts w:hint="cs"/>
          <w:color w:val="000000"/>
          <w:sz w:val="26"/>
          <w:rtl/>
        </w:rPr>
        <w:t xml:space="preserve"> </w:t>
      </w:r>
      <w:r w:rsidR="00FD4D46">
        <w:rPr>
          <w:rFonts w:hint="cs"/>
          <w:color w:val="000000"/>
          <w:sz w:val="26"/>
          <w:rtl/>
        </w:rPr>
        <w:t>הנוגעת לפרסום הסדרי נגישות אשר בוצעו בשירות ובמקומות הציבוריים שבהם ניתן השירות לרבות באתר האינטרנט של נותן השירות</w:t>
      </w:r>
      <w:r w:rsidR="00E96D2B">
        <w:rPr>
          <w:rFonts w:hint="cs"/>
          <w:color w:val="000000"/>
          <w:sz w:val="26"/>
          <w:rtl/>
        </w:rPr>
        <w:t>; צו הגנת הצרכן (סימון טובין), תשמ"ג-1983 הנוגע לסימון מוצרים</w:t>
      </w:r>
      <w:r w:rsidR="009F2E1F">
        <w:rPr>
          <w:rFonts w:hint="cs"/>
          <w:color w:val="000000"/>
          <w:sz w:val="26"/>
          <w:rtl/>
        </w:rPr>
        <w:t xml:space="preserve"> (שפת הסימון, פרטי הסימון כמו שם היצרן וארץ ייצור, צירוף הוראות שימוש ועוד)</w:t>
      </w:r>
      <w:r w:rsidR="00E96D2B">
        <w:rPr>
          <w:rFonts w:hint="cs"/>
          <w:color w:val="000000"/>
          <w:sz w:val="26"/>
          <w:rtl/>
        </w:rPr>
        <w:t xml:space="preserve">; צו הגנת הצרכן (סימון ואריזה של מוצרי מזון), תשנ"ט-1998 הנוגע לסימון מזון ארוז מראש; תקנות הגנה על בריאות הציבור (מזון) (סימון תזונתי), תשע"ח-2017 הנוגעות לסימון </w:t>
      </w:r>
      <w:r w:rsidR="00E96D2B">
        <w:rPr>
          <w:rFonts w:hint="cs"/>
          <w:color w:val="000000"/>
          <w:sz w:val="26"/>
          <w:rtl/>
        </w:rPr>
        <w:lastRenderedPageBreak/>
        <w:t xml:space="preserve">סמלים המיידעים את הציבור על מזון המכיל כמות גבוהה של נתרן, סוכרים או חומצות שומן רוויות; </w:t>
      </w:r>
      <w:r w:rsidR="00E96D2B" w:rsidRPr="008E06A7">
        <w:rPr>
          <w:color w:val="000000"/>
          <w:sz w:val="26"/>
          <w:rtl/>
        </w:rPr>
        <w:t>תקנות הגנת הצרכן (מחיר ליחידת מידה), התשס"ח-2008</w:t>
      </w:r>
      <w:r w:rsidR="00E96D2B">
        <w:rPr>
          <w:rFonts w:hint="cs"/>
          <w:color w:val="000000"/>
          <w:sz w:val="26"/>
          <w:rtl/>
        </w:rPr>
        <w:t xml:space="preserve"> הנוגעות לחובת הצגת מחיר ליחידת מידה</w:t>
      </w:r>
      <w:r w:rsidR="008E06A7">
        <w:rPr>
          <w:rFonts w:hint="cs"/>
          <w:color w:val="000000"/>
          <w:sz w:val="26"/>
          <w:rtl/>
        </w:rPr>
        <w:t>; תקנה 18(ג) לתקנות שוויון זכויות לאנשים עם מוגבלות (התאמות נגישות לשירות) הנוגעת ל</w:t>
      </w:r>
      <w:r w:rsidR="008E06A7" w:rsidRPr="008E06A7">
        <w:rPr>
          <w:rFonts w:hint="cs"/>
          <w:color w:val="000000"/>
          <w:sz w:val="26"/>
          <w:rtl/>
        </w:rPr>
        <w:t xml:space="preserve">התקנת </w:t>
      </w:r>
      <w:r w:rsidR="008E06A7" w:rsidRPr="008E06A7">
        <w:rPr>
          <w:color w:val="000000"/>
          <w:sz w:val="26"/>
          <w:rtl/>
        </w:rPr>
        <w:t>מערכת עזר לשמיעה מסוג לולאת השראה</w:t>
      </w:r>
      <w:r w:rsidR="008E06A7">
        <w:rPr>
          <w:rFonts w:hint="cs"/>
          <w:color w:val="000000"/>
          <w:sz w:val="26"/>
          <w:rtl/>
        </w:rPr>
        <w:t>; תקנה 91 לתקנות שוויון זכויות לאנשים עם מוגבלות (התאמות נגישות לשירות) הנוגעת למינוי רכז נגישות; תקנה 35ה לתקנות שוויון זכויות לאנשים עם מוגבלות (התאמות נגישות לשירות) לפרסום הצהרת נגישות;</w:t>
      </w:r>
      <w:r w:rsidR="00AB2AAA">
        <w:rPr>
          <w:rFonts w:hint="cs"/>
          <w:color w:val="000000"/>
          <w:sz w:val="26"/>
          <w:rtl/>
        </w:rPr>
        <w:t xml:space="preserve"> </w:t>
      </w:r>
      <w:r w:rsidR="008E06A7">
        <w:rPr>
          <w:rFonts w:hint="cs"/>
          <w:color w:val="000000"/>
          <w:sz w:val="26"/>
          <w:rtl/>
        </w:rPr>
        <w:t>סעיף 20(ב) לחוק המכר, תשכ"ח-1968 הנוגע למשקל אריזות; סעיף 17(ג) לחוק הגנת הצרכן, תשמ"א-1981 הנוגע לסימון בשפה העברית.</w:t>
      </w:r>
    </w:p>
    <w:p w14:paraId="752C117D" w14:textId="499FA005" w:rsidR="00DC239E" w:rsidRPr="00F32692" w:rsidRDefault="00DC239E" w:rsidP="00DC239E">
      <w:pPr>
        <w:pStyle w:val="Hesber"/>
        <w:ind w:firstLine="0"/>
        <w:rPr>
          <w:color w:val="000000"/>
          <w:sz w:val="26"/>
          <w:rtl/>
        </w:rPr>
      </w:pPr>
      <w:r>
        <w:rPr>
          <w:rFonts w:hint="cs"/>
          <w:color w:val="000000"/>
          <w:sz w:val="26"/>
          <w:rtl/>
        </w:rPr>
        <w:t xml:space="preserve">עילות אלו הן </w:t>
      </w:r>
      <w:r w:rsidRPr="00F32692">
        <w:rPr>
          <w:rFonts w:hint="cs"/>
          <w:color w:val="000000"/>
          <w:sz w:val="26"/>
          <w:rtl/>
        </w:rPr>
        <w:t xml:space="preserve">עילות אשר </w:t>
      </w:r>
      <w:r w:rsidR="00906BDB" w:rsidRPr="00F32692">
        <w:rPr>
          <w:rFonts w:hint="cs"/>
          <w:color w:val="000000"/>
          <w:sz w:val="26"/>
          <w:rtl/>
        </w:rPr>
        <w:t xml:space="preserve">כיום </w:t>
      </w:r>
      <w:r w:rsidRPr="00F32692">
        <w:rPr>
          <w:rFonts w:hint="cs"/>
          <w:color w:val="000000"/>
          <w:sz w:val="26"/>
          <w:rtl/>
        </w:rPr>
        <w:t xml:space="preserve">מסתיימות בעיקר בהסתלקויות וללא פיצוי לקבוצה, עילות שניתנות לתיקון באופן פשוט ומיידי או עילות </w:t>
      </w:r>
      <w:r w:rsidR="00906BDB" w:rsidRPr="00F32692">
        <w:rPr>
          <w:rFonts w:hint="cs"/>
          <w:color w:val="000000"/>
          <w:sz w:val="26"/>
          <w:rtl/>
        </w:rPr>
        <w:t>ש</w:t>
      </w:r>
      <w:r w:rsidRPr="00F32692">
        <w:rPr>
          <w:rFonts w:hint="cs"/>
          <w:color w:val="000000"/>
          <w:sz w:val="26"/>
          <w:rtl/>
        </w:rPr>
        <w:t xml:space="preserve">התועלת העיקרית בהן היא בהסדרת </w:t>
      </w:r>
      <w:proofErr w:type="spellStart"/>
      <w:r w:rsidRPr="00F32692">
        <w:rPr>
          <w:rFonts w:hint="cs"/>
          <w:color w:val="000000"/>
          <w:sz w:val="26"/>
          <w:rtl/>
        </w:rPr>
        <w:t>הסוגיה</w:t>
      </w:r>
      <w:proofErr w:type="spellEnd"/>
      <w:r w:rsidRPr="00F32692">
        <w:rPr>
          <w:rFonts w:hint="cs"/>
          <w:color w:val="000000"/>
          <w:sz w:val="26"/>
          <w:rtl/>
        </w:rPr>
        <w:t xml:space="preserve"> כלפי העתיד. </w:t>
      </w:r>
    </w:p>
    <w:p w14:paraId="758D3C64" w14:textId="77777777" w:rsidR="004551A7" w:rsidRPr="00F32692" w:rsidRDefault="004551A7" w:rsidP="00DC239E">
      <w:pPr>
        <w:tabs>
          <w:tab w:val="left" w:pos="1020"/>
        </w:tabs>
        <w:autoSpaceDE w:val="0"/>
        <w:autoSpaceDN w:val="0"/>
        <w:adjustRightInd w:val="0"/>
        <w:snapToGrid w:val="0"/>
        <w:ind w:left="0"/>
        <w:contextualSpacing w:val="0"/>
        <w:textAlignment w:val="center"/>
        <w:rPr>
          <w:color w:val="000000"/>
          <w:sz w:val="26"/>
          <w:szCs w:val="26"/>
          <w:rtl/>
        </w:rPr>
      </w:pPr>
    </w:p>
    <w:p w14:paraId="555D0213" w14:textId="21402556" w:rsidR="00D9153B" w:rsidRPr="00F32692" w:rsidRDefault="00E47DED" w:rsidP="00420681">
      <w:pPr>
        <w:tabs>
          <w:tab w:val="left" w:pos="1020"/>
        </w:tabs>
        <w:autoSpaceDE w:val="0"/>
        <w:autoSpaceDN w:val="0"/>
        <w:adjustRightInd w:val="0"/>
        <w:snapToGrid w:val="0"/>
        <w:ind w:left="0"/>
        <w:contextualSpacing w:val="0"/>
        <w:textAlignment w:val="center"/>
        <w:rPr>
          <w:b/>
          <w:bCs/>
          <w:color w:val="000000"/>
          <w:sz w:val="26"/>
          <w:szCs w:val="26"/>
          <w:rtl/>
        </w:rPr>
      </w:pPr>
      <w:r w:rsidRPr="00F32692">
        <w:rPr>
          <w:rFonts w:hint="cs"/>
          <w:b/>
          <w:bCs/>
          <w:color w:val="000000"/>
          <w:sz w:val="26"/>
          <w:szCs w:val="26"/>
          <w:rtl/>
        </w:rPr>
        <w:t>סעי</w:t>
      </w:r>
      <w:r w:rsidR="00BA02E8" w:rsidRPr="00F32692">
        <w:rPr>
          <w:rFonts w:hint="cs"/>
          <w:b/>
          <w:bCs/>
          <w:color w:val="000000"/>
          <w:sz w:val="26"/>
          <w:szCs w:val="26"/>
          <w:rtl/>
        </w:rPr>
        <w:t>פים</w:t>
      </w:r>
      <w:r w:rsidRPr="00F32692">
        <w:rPr>
          <w:rFonts w:hint="cs"/>
          <w:b/>
          <w:bCs/>
          <w:color w:val="000000"/>
          <w:sz w:val="26"/>
          <w:szCs w:val="26"/>
          <w:rtl/>
        </w:rPr>
        <w:t xml:space="preserve"> </w:t>
      </w:r>
      <w:r w:rsidR="00A844DE" w:rsidRPr="00F32692">
        <w:rPr>
          <w:rFonts w:hint="cs"/>
          <w:b/>
          <w:bCs/>
          <w:color w:val="000000"/>
          <w:sz w:val="26"/>
          <w:szCs w:val="26"/>
          <w:rtl/>
        </w:rPr>
        <w:t>3</w:t>
      </w:r>
      <w:r w:rsidR="00532F07" w:rsidRPr="00F32692">
        <w:rPr>
          <w:rFonts w:hint="cs"/>
          <w:b/>
          <w:bCs/>
          <w:color w:val="000000"/>
          <w:sz w:val="26"/>
          <w:szCs w:val="26"/>
          <w:rtl/>
        </w:rPr>
        <w:t>,</w:t>
      </w:r>
      <w:r w:rsidR="00D9153B" w:rsidRPr="00F32692">
        <w:rPr>
          <w:rFonts w:hint="cs"/>
          <w:b/>
          <w:bCs/>
          <w:color w:val="000000"/>
          <w:sz w:val="26"/>
          <w:szCs w:val="26"/>
          <w:rtl/>
        </w:rPr>
        <w:t xml:space="preserve"> </w:t>
      </w:r>
      <w:r w:rsidR="000D6B9A" w:rsidRPr="00F32692">
        <w:rPr>
          <w:rFonts w:hint="cs"/>
          <w:b/>
          <w:bCs/>
          <w:color w:val="000000"/>
          <w:sz w:val="26"/>
          <w:szCs w:val="26"/>
          <w:rtl/>
        </w:rPr>
        <w:t>11</w:t>
      </w:r>
      <w:r w:rsidR="00D9153B" w:rsidRPr="00F32692">
        <w:rPr>
          <w:rFonts w:hint="cs"/>
          <w:b/>
          <w:bCs/>
          <w:color w:val="000000"/>
          <w:sz w:val="26"/>
          <w:szCs w:val="26"/>
          <w:rtl/>
        </w:rPr>
        <w:t xml:space="preserve">, </w:t>
      </w:r>
      <w:r w:rsidR="000D6B9A" w:rsidRPr="00F32692">
        <w:rPr>
          <w:rFonts w:hint="cs"/>
          <w:b/>
          <w:bCs/>
          <w:color w:val="000000"/>
          <w:sz w:val="26"/>
          <w:szCs w:val="26"/>
          <w:rtl/>
        </w:rPr>
        <w:t>17</w:t>
      </w:r>
      <w:r w:rsidR="00D9153B" w:rsidRPr="00F32692">
        <w:rPr>
          <w:rFonts w:hint="cs"/>
          <w:b/>
          <w:bCs/>
          <w:color w:val="000000"/>
          <w:sz w:val="26"/>
          <w:szCs w:val="26"/>
          <w:rtl/>
        </w:rPr>
        <w:t>,</w:t>
      </w:r>
      <w:r w:rsidR="0075332F" w:rsidRPr="00F32692">
        <w:rPr>
          <w:rFonts w:hint="cs"/>
          <w:b/>
          <w:bCs/>
          <w:color w:val="000000"/>
          <w:sz w:val="26"/>
          <w:szCs w:val="26"/>
          <w:rtl/>
        </w:rPr>
        <w:t xml:space="preserve"> </w:t>
      </w:r>
      <w:r w:rsidR="000D6B9A" w:rsidRPr="00F32692">
        <w:rPr>
          <w:rFonts w:hint="cs"/>
          <w:b/>
          <w:bCs/>
          <w:color w:val="000000"/>
          <w:sz w:val="26"/>
          <w:szCs w:val="26"/>
          <w:rtl/>
        </w:rPr>
        <w:t>19</w:t>
      </w:r>
      <w:r w:rsidR="0075332F" w:rsidRPr="00F32692">
        <w:rPr>
          <w:rFonts w:hint="cs"/>
          <w:b/>
          <w:bCs/>
          <w:color w:val="000000"/>
          <w:sz w:val="26"/>
          <w:szCs w:val="26"/>
          <w:rtl/>
        </w:rPr>
        <w:t>,</w:t>
      </w:r>
      <w:r w:rsidR="00D9153B" w:rsidRPr="00F32692">
        <w:rPr>
          <w:rFonts w:hint="cs"/>
          <w:b/>
          <w:bCs/>
          <w:color w:val="000000"/>
          <w:sz w:val="26"/>
          <w:szCs w:val="26"/>
          <w:rtl/>
        </w:rPr>
        <w:t xml:space="preserve"> </w:t>
      </w:r>
      <w:r w:rsidR="000D6B9A" w:rsidRPr="00F32692">
        <w:rPr>
          <w:rFonts w:hint="cs"/>
          <w:b/>
          <w:bCs/>
          <w:color w:val="000000"/>
          <w:sz w:val="26"/>
          <w:szCs w:val="26"/>
          <w:rtl/>
        </w:rPr>
        <w:t xml:space="preserve">22 </w:t>
      </w:r>
      <w:r w:rsidR="00D9153B" w:rsidRPr="00F32692">
        <w:rPr>
          <w:rFonts w:hint="cs"/>
          <w:b/>
          <w:bCs/>
          <w:color w:val="000000"/>
          <w:sz w:val="26"/>
          <w:szCs w:val="26"/>
          <w:rtl/>
        </w:rPr>
        <w:t>ו-</w:t>
      </w:r>
      <w:r w:rsidR="0098383A" w:rsidRPr="00F32692">
        <w:rPr>
          <w:rFonts w:hint="cs"/>
          <w:b/>
          <w:bCs/>
          <w:color w:val="000000"/>
          <w:sz w:val="26"/>
          <w:szCs w:val="26"/>
          <w:rtl/>
        </w:rPr>
        <w:t>25</w:t>
      </w:r>
      <w:r w:rsidR="000D6B9A" w:rsidRPr="00F32692">
        <w:rPr>
          <w:rFonts w:hint="cs"/>
          <w:b/>
          <w:bCs/>
          <w:color w:val="000000"/>
          <w:sz w:val="26"/>
          <w:szCs w:val="26"/>
          <w:rtl/>
        </w:rPr>
        <w:t xml:space="preserve"> </w:t>
      </w:r>
      <w:r w:rsidR="00CA2DA6" w:rsidRPr="00F32692">
        <w:rPr>
          <w:rFonts w:hint="cs"/>
          <w:b/>
          <w:bCs/>
          <w:color w:val="000000"/>
          <w:sz w:val="26"/>
          <w:szCs w:val="26"/>
          <w:rtl/>
        </w:rPr>
        <w:t>(התוספת הרביעית לחוק)</w:t>
      </w:r>
    </w:p>
    <w:p w14:paraId="4BC42EC6" w14:textId="62A157F5" w:rsidR="00DC239E" w:rsidRDefault="00E47DED" w:rsidP="00C90E2A">
      <w:pPr>
        <w:tabs>
          <w:tab w:val="left" w:pos="1020"/>
        </w:tabs>
        <w:autoSpaceDE w:val="0"/>
        <w:autoSpaceDN w:val="0"/>
        <w:adjustRightInd w:val="0"/>
        <w:snapToGrid w:val="0"/>
        <w:ind w:left="0"/>
        <w:contextualSpacing w:val="0"/>
        <w:textAlignment w:val="center"/>
        <w:rPr>
          <w:color w:val="000000"/>
          <w:sz w:val="26"/>
          <w:szCs w:val="26"/>
          <w:rtl/>
        </w:rPr>
      </w:pPr>
      <w:r w:rsidRPr="00F32692">
        <w:rPr>
          <w:rFonts w:hint="cs"/>
          <w:color w:val="000000"/>
          <w:sz w:val="26"/>
          <w:szCs w:val="26"/>
          <w:rtl/>
        </w:rPr>
        <w:t xml:space="preserve">מוצע להוסיף לחוק תובענות ייצוגיות את </w:t>
      </w:r>
      <w:r w:rsidR="006F54CA" w:rsidRPr="00F32692">
        <w:rPr>
          <w:rFonts w:hint="cs"/>
          <w:color w:val="000000"/>
          <w:sz w:val="26"/>
          <w:szCs w:val="26"/>
          <w:rtl/>
        </w:rPr>
        <w:t xml:space="preserve">סעיפים </w:t>
      </w:r>
      <w:r w:rsidR="00BA02E8" w:rsidRPr="00F32692">
        <w:rPr>
          <w:color w:val="000000"/>
          <w:sz w:val="26"/>
          <w:szCs w:val="26"/>
          <w:rtl/>
        </w:rPr>
        <w:t>3</w:t>
      </w:r>
      <w:r w:rsidR="00D9153B" w:rsidRPr="00F32692">
        <w:rPr>
          <w:rFonts w:hint="eastAsia"/>
          <w:color w:val="000000"/>
          <w:sz w:val="26"/>
          <w:szCs w:val="26"/>
          <w:rtl/>
        </w:rPr>
        <w:t>א</w:t>
      </w:r>
      <w:r w:rsidR="00BA02E8" w:rsidRPr="00F32692">
        <w:rPr>
          <w:color w:val="000000"/>
          <w:sz w:val="26"/>
          <w:szCs w:val="26"/>
          <w:rtl/>
        </w:rPr>
        <w:t xml:space="preserve"> </w:t>
      </w:r>
      <w:r w:rsidR="006F54CA" w:rsidRPr="00F32692">
        <w:rPr>
          <w:rFonts w:hint="eastAsia"/>
          <w:color w:val="000000"/>
          <w:sz w:val="26"/>
          <w:szCs w:val="26"/>
          <w:rtl/>
        </w:rPr>
        <w:t>ו</w:t>
      </w:r>
      <w:r w:rsidR="006F54CA" w:rsidRPr="00F32692">
        <w:rPr>
          <w:color w:val="000000"/>
          <w:sz w:val="26"/>
          <w:szCs w:val="26"/>
          <w:rtl/>
        </w:rPr>
        <w:t>-3ב</w:t>
      </w:r>
      <w:r w:rsidR="006F54CA" w:rsidRPr="00F32692">
        <w:rPr>
          <w:rFonts w:hint="cs"/>
          <w:color w:val="000000"/>
          <w:sz w:val="26"/>
          <w:szCs w:val="26"/>
          <w:rtl/>
        </w:rPr>
        <w:t xml:space="preserve"> </w:t>
      </w:r>
      <w:r w:rsidR="00BA02E8" w:rsidRPr="00F32692">
        <w:rPr>
          <w:rFonts w:hint="cs"/>
          <w:color w:val="000000"/>
          <w:sz w:val="26"/>
          <w:szCs w:val="26"/>
          <w:rtl/>
        </w:rPr>
        <w:t>שעניי</w:t>
      </w:r>
      <w:r w:rsidR="00DC239E" w:rsidRPr="00F32692">
        <w:rPr>
          <w:rFonts w:hint="cs"/>
          <w:color w:val="000000"/>
          <w:sz w:val="26"/>
          <w:szCs w:val="26"/>
          <w:rtl/>
        </w:rPr>
        <w:t>נ</w:t>
      </w:r>
      <w:r w:rsidR="006F54CA" w:rsidRPr="00F32692">
        <w:rPr>
          <w:rFonts w:hint="cs"/>
          <w:color w:val="000000"/>
          <w:sz w:val="26"/>
          <w:szCs w:val="26"/>
          <w:rtl/>
        </w:rPr>
        <w:t>ם</w:t>
      </w:r>
      <w:r w:rsidR="00DC239E" w:rsidRPr="00DC239E">
        <w:rPr>
          <w:rFonts w:hint="cs"/>
          <w:color w:val="000000"/>
          <w:sz w:val="26"/>
          <w:szCs w:val="26"/>
          <w:rtl/>
        </w:rPr>
        <w:t xml:space="preserve"> </w:t>
      </w:r>
      <w:r w:rsidR="00DC239E">
        <w:rPr>
          <w:rFonts w:hint="cs"/>
          <w:color w:val="000000"/>
          <w:sz w:val="26"/>
          <w:szCs w:val="26"/>
          <w:rtl/>
        </w:rPr>
        <w:t xml:space="preserve">קביעת חובת פנייה מוקדמת </w:t>
      </w:r>
      <w:r w:rsidR="00E92A0A">
        <w:rPr>
          <w:rFonts w:hint="cs"/>
          <w:color w:val="000000"/>
          <w:sz w:val="26"/>
          <w:szCs w:val="26"/>
          <w:rtl/>
        </w:rPr>
        <w:t>כפי שיפורט להלן</w:t>
      </w:r>
      <w:r w:rsidR="00DC239E">
        <w:rPr>
          <w:rFonts w:hint="cs"/>
          <w:color w:val="000000"/>
          <w:sz w:val="26"/>
          <w:szCs w:val="26"/>
          <w:rtl/>
        </w:rPr>
        <w:t>.</w:t>
      </w:r>
    </w:p>
    <w:p w14:paraId="6A04E7F8" w14:textId="25F5C2BA" w:rsidR="0014544C" w:rsidRDefault="006F54CA" w:rsidP="00C90E2A">
      <w:pPr>
        <w:tabs>
          <w:tab w:val="left" w:pos="1020"/>
        </w:tabs>
        <w:autoSpaceDE w:val="0"/>
        <w:autoSpaceDN w:val="0"/>
        <w:adjustRightInd w:val="0"/>
        <w:snapToGrid w:val="0"/>
        <w:ind w:left="0"/>
        <w:contextualSpacing w:val="0"/>
        <w:textAlignment w:val="center"/>
        <w:rPr>
          <w:b/>
          <w:bCs/>
          <w:color w:val="000000"/>
          <w:sz w:val="26"/>
          <w:szCs w:val="26"/>
          <w:rtl/>
        </w:rPr>
      </w:pPr>
      <w:r>
        <w:rPr>
          <w:rFonts w:hint="cs"/>
          <w:color w:val="000000"/>
          <w:sz w:val="26"/>
          <w:szCs w:val="26"/>
          <w:rtl/>
        </w:rPr>
        <w:t xml:space="preserve">לאור הייחודיות של מנגנון הפנייה המוקדמת המוצע, מוצע לערוך את התיקון בעניין הפנייה המוקדמת בהוראת שעה </w:t>
      </w:r>
      <w:r w:rsidR="004D13F0">
        <w:rPr>
          <w:rFonts w:hint="cs"/>
          <w:color w:val="000000"/>
          <w:sz w:val="26"/>
          <w:szCs w:val="26"/>
          <w:rtl/>
        </w:rPr>
        <w:t xml:space="preserve">שתהיה בתוקף למשך </w:t>
      </w:r>
      <w:r>
        <w:rPr>
          <w:rFonts w:hint="cs"/>
          <w:color w:val="000000"/>
          <w:sz w:val="26"/>
          <w:szCs w:val="26"/>
          <w:rtl/>
        </w:rPr>
        <w:t>שנתיים וזאת על מנת לבחון את יעילותו של המנגנון. עוד מוצע לאפשר לשר להאריך בצו את התקופה הקבועה בתקופה נוספת שלא תעלה על שנתיים</w:t>
      </w:r>
      <w:r w:rsidR="004D13F0">
        <w:rPr>
          <w:rFonts w:hint="cs"/>
          <w:color w:val="000000"/>
          <w:sz w:val="26"/>
          <w:szCs w:val="26"/>
          <w:rtl/>
        </w:rPr>
        <w:t>, אם מצא כי נדרשת תקופה נוספת להערכת יעילותו של המנגנון</w:t>
      </w:r>
      <w:r>
        <w:rPr>
          <w:rFonts w:hint="cs"/>
          <w:color w:val="000000"/>
          <w:sz w:val="26"/>
          <w:szCs w:val="26"/>
          <w:rtl/>
        </w:rPr>
        <w:t>.</w:t>
      </w:r>
    </w:p>
    <w:p w14:paraId="44EF51DD" w14:textId="7B042B7A" w:rsidR="006F54CA" w:rsidRPr="0014544C" w:rsidRDefault="006F54CA" w:rsidP="00C90E2A">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 xml:space="preserve">לסעיף 3א (עריכת פניה מוקדמת כללית </w:t>
      </w:r>
      <w:r>
        <w:rPr>
          <w:b/>
          <w:bCs/>
          <w:color w:val="000000"/>
          <w:sz w:val="26"/>
          <w:szCs w:val="26"/>
          <w:rtl/>
        </w:rPr>
        <w:t>–</w:t>
      </w:r>
      <w:r>
        <w:rPr>
          <w:rFonts w:hint="cs"/>
          <w:b/>
          <w:bCs/>
          <w:color w:val="000000"/>
          <w:sz w:val="26"/>
          <w:szCs w:val="26"/>
          <w:rtl/>
        </w:rPr>
        <w:t xml:space="preserve"> הוראת שעה)</w:t>
      </w:r>
      <w:r w:rsidR="00BC68FA">
        <w:rPr>
          <w:rFonts w:hint="cs"/>
          <w:b/>
          <w:bCs/>
          <w:color w:val="000000"/>
          <w:sz w:val="26"/>
          <w:szCs w:val="26"/>
          <w:rtl/>
        </w:rPr>
        <w:t>:</w:t>
      </w:r>
    </w:p>
    <w:p w14:paraId="40C9F41F" w14:textId="340DC667" w:rsidR="004F00D0" w:rsidRDefault="00062AC7" w:rsidP="00384E5F">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בהמשך להמלצת הצוות</w:t>
      </w:r>
      <w:r w:rsidR="0014623E">
        <w:rPr>
          <w:rFonts w:hint="cs"/>
          <w:color w:val="000000"/>
          <w:sz w:val="26"/>
          <w:szCs w:val="26"/>
          <w:rtl/>
        </w:rPr>
        <w:t xml:space="preserve"> </w:t>
      </w:r>
      <w:r>
        <w:rPr>
          <w:rFonts w:hint="cs"/>
          <w:color w:val="000000"/>
          <w:sz w:val="26"/>
          <w:szCs w:val="26"/>
          <w:rtl/>
        </w:rPr>
        <w:t>הבין</w:t>
      </w:r>
      <w:r w:rsidR="0014623E">
        <w:rPr>
          <w:rFonts w:hint="cs"/>
          <w:color w:val="000000"/>
          <w:sz w:val="26"/>
          <w:szCs w:val="26"/>
          <w:rtl/>
        </w:rPr>
        <w:t>-</w:t>
      </w:r>
      <w:r>
        <w:rPr>
          <w:rFonts w:hint="cs"/>
          <w:color w:val="000000"/>
          <w:sz w:val="26"/>
          <w:szCs w:val="26"/>
          <w:rtl/>
        </w:rPr>
        <w:t xml:space="preserve">משרדי אשר ביקש להציע מנגנון חלופי </w:t>
      </w:r>
      <w:r w:rsidRPr="00F32692">
        <w:rPr>
          <w:rFonts w:hint="cs"/>
          <w:color w:val="000000"/>
          <w:sz w:val="26"/>
          <w:szCs w:val="26"/>
          <w:rtl/>
        </w:rPr>
        <w:t xml:space="preserve">שיתמודד עם הקשיים בתביעות המסתיימות </w:t>
      </w:r>
      <w:r w:rsidR="00633B75" w:rsidRPr="00F32692">
        <w:rPr>
          <w:rFonts w:hint="cs"/>
          <w:color w:val="000000"/>
          <w:sz w:val="26"/>
          <w:szCs w:val="26"/>
          <w:rtl/>
        </w:rPr>
        <w:t xml:space="preserve">כיום, פעמים רבות, </w:t>
      </w:r>
      <w:r w:rsidRPr="00F32692">
        <w:rPr>
          <w:rFonts w:hint="cs"/>
          <w:color w:val="000000"/>
          <w:sz w:val="26"/>
          <w:szCs w:val="26"/>
          <w:rtl/>
        </w:rPr>
        <w:t>בהסתלקות עם תיקון ביחס לעתיד בלבד</w:t>
      </w:r>
      <w:r w:rsidR="00D9153B" w:rsidRPr="00F32692">
        <w:rPr>
          <w:rFonts w:hint="cs"/>
          <w:color w:val="000000"/>
          <w:sz w:val="26"/>
          <w:szCs w:val="26"/>
          <w:rtl/>
        </w:rPr>
        <w:t>,</w:t>
      </w:r>
      <w:r w:rsidRPr="00F32692">
        <w:rPr>
          <w:rFonts w:hint="cs"/>
          <w:color w:val="000000"/>
          <w:sz w:val="26"/>
          <w:szCs w:val="26"/>
          <w:rtl/>
        </w:rPr>
        <w:t xml:space="preserve"> מוצע בסעיף 3</w:t>
      </w:r>
      <w:r w:rsidR="00D9153B" w:rsidRPr="00F32692">
        <w:rPr>
          <w:rFonts w:hint="cs"/>
          <w:color w:val="000000"/>
          <w:sz w:val="26"/>
          <w:szCs w:val="26"/>
          <w:rtl/>
        </w:rPr>
        <w:t>א</w:t>
      </w:r>
      <w:r w:rsidRPr="00F32692">
        <w:rPr>
          <w:rFonts w:hint="cs"/>
          <w:color w:val="000000"/>
          <w:sz w:val="26"/>
          <w:szCs w:val="26"/>
          <w:rtl/>
        </w:rPr>
        <w:t xml:space="preserve"> לקבוע מנגנון של </w:t>
      </w:r>
      <w:r w:rsidR="0014623E" w:rsidRPr="00F32692">
        <w:rPr>
          <w:rFonts w:hint="cs"/>
          <w:color w:val="000000"/>
          <w:sz w:val="26"/>
          <w:szCs w:val="26"/>
          <w:rtl/>
        </w:rPr>
        <w:t xml:space="preserve">חובת </w:t>
      </w:r>
      <w:r w:rsidRPr="00F32692">
        <w:rPr>
          <w:rFonts w:hint="cs"/>
          <w:color w:val="000000"/>
          <w:sz w:val="26"/>
          <w:szCs w:val="26"/>
          <w:rtl/>
        </w:rPr>
        <w:t>פניה מוקדמת ביחס לתביעות</w:t>
      </w:r>
      <w:r w:rsidR="004D13F0" w:rsidRPr="00F32692">
        <w:rPr>
          <w:rFonts w:hint="cs"/>
          <w:color w:val="000000"/>
          <w:sz w:val="26"/>
          <w:szCs w:val="26"/>
          <w:rtl/>
        </w:rPr>
        <w:t xml:space="preserve"> בעילות</w:t>
      </w:r>
      <w:r w:rsidRPr="00F32692">
        <w:rPr>
          <w:rFonts w:hint="cs"/>
          <w:color w:val="000000"/>
          <w:sz w:val="26"/>
          <w:szCs w:val="26"/>
          <w:rtl/>
        </w:rPr>
        <w:t xml:space="preserve"> אלו </w:t>
      </w:r>
      <w:r w:rsidR="0014623E" w:rsidRPr="00F32692">
        <w:rPr>
          <w:rFonts w:hint="cs"/>
          <w:color w:val="000000"/>
          <w:sz w:val="26"/>
          <w:szCs w:val="26"/>
          <w:rtl/>
        </w:rPr>
        <w:t xml:space="preserve">(אשר יכללו בתוספת הרביעית לחוק) </w:t>
      </w:r>
      <w:r w:rsidRPr="00F32692">
        <w:rPr>
          <w:rFonts w:hint="cs"/>
          <w:color w:val="000000"/>
          <w:sz w:val="26"/>
          <w:szCs w:val="26"/>
          <w:rtl/>
        </w:rPr>
        <w:t>וכן</w:t>
      </w:r>
      <w:r w:rsidR="00532F07" w:rsidRPr="00F32692">
        <w:rPr>
          <w:rFonts w:hint="cs"/>
          <w:color w:val="000000"/>
          <w:sz w:val="26"/>
          <w:szCs w:val="26"/>
          <w:rtl/>
        </w:rPr>
        <w:t xml:space="preserve"> ביחס לתביעות שבהן המבקש סבור ש</w:t>
      </w:r>
      <w:r w:rsidR="00B0123D" w:rsidRPr="00F32692">
        <w:rPr>
          <w:rFonts w:hint="cs"/>
          <w:color w:val="000000"/>
          <w:sz w:val="26"/>
          <w:szCs w:val="26"/>
          <w:rtl/>
        </w:rPr>
        <w:t>אין מקום לנהל</w:t>
      </w:r>
      <w:r w:rsidR="00532F07" w:rsidRPr="00F32692">
        <w:rPr>
          <w:rFonts w:hint="cs"/>
          <w:color w:val="000000"/>
          <w:sz w:val="26"/>
          <w:szCs w:val="26"/>
          <w:rtl/>
        </w:rPr>
        <w:t>ן</w:t>
      </w:r>
      <w:r w:rsidR="00B0123D" w:rsidRPr="00F32692">
        <w:rPr>
          <w:rFonts w:hint="cs"/>
          <w:color w:val="000000"/>
          <w:sz w:val="26"/>
          <w:szCs w:val="26"/>
          <w:rtl/>
        </w:rPr>
        <w:t xml:space="preserve"> כ</w:t>
      </w:r>
      <w:r w:rsidR="00D9153B" w:rsidRPr="00F32692">
        <w:rPr>
          <w:rFonts w:hint="cs"/>
          <w:color w:val="000000"/>
          <w:sz w:val="26"/>
          <w:szCs w:val="26"/>
          <w:rtl/>
        </w:rPr>
        <w:t>תובענות ייצוגיות לפיצויים</w:t>
      </w:r>
      <w:r w:rsidR="00D20D04" w:rsidRPr="00F32692">
        <w:rPr>
          <w:rFonts w:hint="cs"/>
          <w:color w:val="000000"/>
          <w:sz w:val="26"/>
          <w:szCs w:val="26"/>
          <w:rtl/>
        </w:rPr>
        <w:t>. מוצע כי גם ביחס לעסק זעיר תהיה חובת פניית מוקדמת בטרם הגשת תובענה ייצוגית נגדו</w:t>
      </w:r>
      <w:r w:rsidR="00AF6209" w:rsidRPr="00F32692">
        <w:rPr>
          <w:rFonts w:hint="cs"/>
          <w:color w:val="000000"/>
          <w:sz w:val="26"/>
          <w:szCs w:val="26"/>
          <w:rtl/>
        </w:rPr>
        <w:t xml:space="preserve"> ביחס לכל תובענה ייצוגית</w:t>
      </w:r>
      <w:r w:rsidR="00D20D04" w:rsidRPr="00F32692">
        <w:rPr>
          <w:rStyle w:val="af3"/>
          <w:rFonts w:asciiTheme="minorHAnsi" w:eastAsiaTheme="minorEastAsia" w:hAnsiTheme="minorHAnsi" w:cstheme="minorBidi" w:hint="cs"/>
          <w:rtl/>
        </w:rPr>
        <w:t xml:space="preserve">. </w:t>
      </w:r>
      <w:r w:rsidR="00D20D04" w:rsidRPr="00F32692">
        <w:rPr>
          <w:rFonts w:hint="cs"/>
          <w:color w:val="000000"/>
          <w:sz w:val="26"/>
          <w:szCs w:val="26"/>
          <w:rtl/>
        </w:rPr>
        <w:t xml:space="preserve">ביחס לעסקים אלו, ההנחה היא שכאשר מוגשת </w:t>
      </w:r>
      <w:r w:rsidR="00223C94" w:rsidRPr="00F32692">
        <w:rPr>
          <w:rFonts w:hint="cs"/>
          <w:color w:val="000000"/>
          <w:sz w:val="26"/>
          <w:szCs w:val="26"/>
          <w:rtl/>
        </w:rPr>
        <w:t xml:space="preserve">נגדו </w:t>
      </w:r>
      <w:r w:rsidR="00D20D04" w:rsidRPr="00F32692">
        <w:rPr>
          <w:rFonts w:hint="cs"/>
          <w:color w:val="000000"/>
          <w:sz w:val="26"/>
          <w:szCs w:val="26"/>
          <w:rtl/>
        </w:rPr>
        <w:t>תובענה ייצוגית יש לכך משמעויות רחבות על התנהלות העסק</w:t>
      </w:r>
      <w:r w:rsidR="00223C94" w:rsidRPr="00F32692">
        <w:rPr>
          <w:rFonts w:hint="cs"/>
          <w:color w:val="000000"/>
          <w:sz w:val="26"/>
          <w:szCs w:val="26"/>
          <w:rtl/>
        </w:rPr>
        <w:t>. לאור האמור, נכון לאפשר לעסק זעיר פניה מוקדמת בטרם הגשת תביעה כאמור. יצוין כי בין אם הפניה המוקדמת נענתה בחיוב ובין אם לא נענתה או</w:t>
      </w:r>
      <w:r w:rsidR="00AB2AAA" w:rsidRPr="00F32692">
        <w:rPr>
          <w:rFonts w:hint="cs"/>
          <w:color w:val="000000"/>
          <w:sz w:val="26"/>
          <w:szCs w:val="26"/>
          <w:rtl/>
        </w:rPr>
        <w:t xml:space="preserve"> </w:t>
      </w:r>
      <w:r w:rsidR="00223C94" w:rsidRPr="00F32692">
        <w:rPr>
          <w:rFonts w:hint="cs"/>
          <w:color w:val="000000"/>
          <w:sz w:val="26"/>
          <w:szCs w:val="26"/>
          <w:rtl/>
        </w:rPr>
        <w:t>נענתה בשלילה, עדיין תהיה פתוחה הדרך של הפונה או כל מבקש ייצוגי אחר, להגיש תובענה ייצוגית לפיצויים</w:t>
      </w:r>
      <w:r w:rsidR="009B3CAB" w:rsidRPr="00F32692">
        <w:rPr>
          <w:rFonts w:hint="cs"/>
          <w:color w:val="000000"/>
          <w:sz w:val="26"/>
          <w:szCs w:val="26"/>
          <w:rtl/>
        </w:rPr>
        <w:t>, ככל שלא מדובר בתובענה ייצוגית המנויה בתוספת הרביעית לחוק</w:t>
      </w:r>
      <w:r w:rsidR="00223C94" w:rsidRPr="00F32692">
        <w:rPr>
          <w:rFonts w:hint="cs"/>
          <w:color w:val="000000"/>
          <w:sz w:val="26"/>
          <w:szCs w:val="26"/>
          <w:rtl/>
        </w:rPr>
        <w:t>.</w:t>
      </w:r>
      <w:r w:rsidR="00AB2AAA" w:rsidRPr="00F32692">
        <w:rPr>
          <w:rFonts w:hint="cs"/>
          <w:color w:val="000000"/>
          <w:sz w:val="26"/>
          <w:szCs w:val="26"/>
          <w:rtl/>
        </w:rPr>
        <w:t xml:space="preserve"> </w:t>
      </w:r>
      <w:r w:rsidR="00932764" w:rsidRPr="00F32692">
        <w:rPr>
          <w:rFonts w:hint="cs"/>
          <w:color w:val="000000"/>
          <w:sz w:val="26"/>
          <w:szCs w:val="26"/>
          <w:rtl/>
        </w:rPr>
        <w:t xml:space="preserve">מוצע לקבוע כי אם הוגשה בקשה לאישור תובענה ייצוגית ללא עריכת פניה מוקדמת כמתחייב </w:t>
      </w:r>
      <w:r w:rsidR="00A32CE8" w:rsidRPr="00F32692">
        <w:rPr>
          <w:rFonts w:hint="cs"/>
          <w:color w:val="000000"/>
          <w:sz w:val="26"/>
          <w:szCs w:val="26"/>
          <w:rtl/>
        </w:rPr>
        <w:t xml:space="preserve">לפי סעיפים </w:t>
      </w:r>
      <w:r w:rsidR="00E45FDA" w:rsidRPr="00F32692">
        <w:rPr>
          <w:rFonts w:hint="cs"/>
          <w:color w:val="000000"/>
          <w:sz w:val="26"/>
          <w:szCs w:val="26"/>
          <w:rtl/>
        </w:rPr>
        <w:t>3א(א) או (ב)</w:t>
      </w:r>
      <w:r w:rsidR="00932764" w:rsidRPr="00F32692">
        <w:rPr>
          <w:rFonts w:hint="cs"/>
          <w:color w:val="000000"/>
          <w:sz w:val="26"/>
          <w:szCs w:val="26"/>
          <w:rtl/>
        </w:rPr>
        <w:t>, בית המשפט יורה על מחיקת התביעה לצורך עריכת פניה מוקדמת.</w:t>
      </w:r>
      <w:r w:rsidR="00932764">
        <w:rPr>
          <w:rFonts w:hint="cs"/>
          <w:color w:val="000000"/>
          <w:sz w:val="26"/>
          <w:szCs w:val="26"/>
          <w:rtl/>
        </w:rPr>
        <w:t xml:space="preserve"> </w:t>
      </w:r>
    </w:p>
    <w:p w14:paraId="0821F372" w14:textId="50C5DBB2" w:rsidR="00BD6CF2" w:rsidRPr="00BD6CF2" w:rsidRDefault="00223C94" w:rsidP="00BD6CF2">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כאמור, </w:t>
      </w:r>
      <w:r w:rsidR="004F00D0">
        <w:rPr>
          <w:rFonts w:hint="cs"/>
          <w:color w:val="000000"/>
          <w:sz w:val="26"/>
          <w:szCs w:val="26"/>
          <w:rtl/>
        </w:rPr>
        <w:t xml:space="preserve">בתיקון החוק מוצע לחייב בפנייה מוקדמת בתביעות לצו עשה, </w:t>
      </w:r>
      <w:r w:rsidR="0014623E" w:rsidRPr="00BD6CF2">
        <w:rPr>
          <w:rFonts w:hint="cs"/>
          <w:color w:val="000000"/>
          <w:sz w:val="26"/>
          <w:szCs w:val="26"/>
          <w:rtl/>
        </w:rPr>
        <w:t>שכן בתביעות אלו התועלת היא בעיקר ביחס לתיקון ההתנהלות העתידית וכאשר לא קיים בסיס עובדתי ומשפטי מספק לשם פסיקת פיצוי לחברי הקבוצה</w:t>
      </w:r>
      <w:r w:rsidR="0014623E">
        <w:rPr>
          <w:rFonts w:hint="cs"/>
          <w:color w:val="000000"/>
          <w:sz w:val="26"/>
          <w:szCs w:val="26"/>
          <w:rtl/>
        </w:rPr>
        <w:t xml:space="preserve"> ועל כן </w:t>
      </w:r>
      <w:r w:rsidR="004F00D0">
        <w:rPr>
          <w:rFonts w:hint="cs"/>
          <w:color w:val="000000"/>
          <w:sz w:val="26"/>
          <w:szCs w:val="26"/>
          <w:rtl/>
        </w:rPr>
        <w:t xml:space="preserve">מנגנון הפנייה המוקדמת הוא יעיל </w:t>
      </w:r>
      <w:r w:rsidR="0014623E">
        <w:rPr>
          <w:rFonts w:hint="cs"/>
          <w:color w:val="000000"/>
          <w:sz w:val="26"/>
          <w:szCs w:val="26"/>
          <w:rtl/>
        </w:rPr>
        <w:t xml:space="preserve">ויכול </w:t>
      </w:r>
      <w:r w:rsidR="004F00D0">
        <w:rPr>
          <w:rFonts w:hint="cs"/>
          <w:color w:val="000000"/>
          <w:sz w:val="26"/>
          <w:szCs w:val="26"/>
          <w:rtl/>
        </w:rPr>
        <w:t xml:space="preserve">להוות תחליף מספק להליך הייצוגי, ללא צורך בפניה לבית המשפט. </w:t>
      </w:r>
      <w:r w:rsidR="00BD6CF2" w:rsidRPr="00BD6CF2">
        <w:rPr>
          <w:color w:val="000000"/>
          <w:sz w:val="26"/>
          <w:szCs w:val="26"/>
          <w:rtl/>
        </w:rPr>
        <w:t>במקרים אלו, נראה ש</w:t>
      </w:r>
      <w:r w:rsidR="00BD6CF2" w:rsidRPr="00BD6CF2">
        <w:rPr>
          <w:rFonts w:hint="cs"/>
          <w:color w:val="000000"/>
          <w:sz w:val="26"/>
          <w:szCs w:val="26"/>
          <w:rtl/>
        </w:rPr>
        <w:t>ה</w:t>
      </w:r>
      <w:r w:rsidR="00BD6CF2" w:rsidRPr="00BD6CF2">
        <w:rPr>
          <w:color w:val="000000"/>
          <w:sz w:val="26"/>
          <w:szCs w:val="26"/>
          <w:rtl/>
        </w:rPr>
        <w:t xml:space="preserve">צורך במנגנוני פיקוח </w:t>
      </w:r>
      <w:r w:rsidR="00BD6CF2" w:rsidRPr="00BD6CF2">
        <w:rPr>
          <w:rFonts w:hint="cs"/>
          <w:color w:val="000000"/>
          <w:sz w:val="26"/>
          <w:szCs w:val="26"/>
          <w:rtl/>
        </w:rPr>
        <w:t>מוגברים הוא פחות מובהק</w:t>
      </w:r>
      <w:r w:rsidR="00BD6CF2" w:rsidRPr="00BD6CF2">
        <w:rPr>
          <w:color w:val="000000"/>
          <w:sz w:val="26"/>
          <w:szCs w:val="26"/>
          <w:rtl/>
        </w:rPr>
        <w:t xml:space="preserve"> </w:t>
      </w:r>
      <w:r w:rsidR="00BD6CF2" w:rsidRPr="00BD6CF2">
        <w:rPr>
          <w:rFonts w:hint="cs"/>
          <w:color w:val="000000"/>
          <w:sz w:val="26"/>
          <w:szCs w:val="26"/>
          <w:rtl/>
        </w:rPr>
        <w:t>ו</w:t>
      </w:r>
      <w:r w:rsidR="00BD6CF2" w:rsidRPr="00BD6CF2">
        <w:rPr>
          <w:color w:val="000000"/>
          <w:sz w:val="26"/>
          <w:szCs w:val="26"/>
          <w:rtl/>
        </w:rPr>
        <w:t>יכול להתבצע</w:t>
      </w:r>
      <w:r w:rsidR="00BD6CF2" w:rsidRPr="00BD6CF2">
        <w:rPr>
          <w:rFonts w:hint="cs"/>
          <w:color w:val="000000"/>
          <w:sz w:val="26"/>
          <w:szCs w:val="26"/>
          <w:rtl/>
        </w:rPr>
        <w:t xml:space="preserve">, לרוב, </w:t>
      </w:r>
      <w:r w:rsidR="00BD6CF2" w:rsidRPr="00BD6CF2">
        <w:rPr>
          <w:color w:val="000000"/>
          <w:sz w:val="26"/>
          <w:szCs w:val="26"/>
          <w:rtl/>
        </w:rPr>
        <w:t>ללא התערבות שיפוטית</w:t>
      </w:r>
      <w:r w:rsidR="00BD6CF2" w:rsidRPr="00BD6CF2">
        <w:rPr>
          <w:rFonts w:hint="cs"/>
          <w:color w:val="000000"/>
          <w:sz w:val="26"/>
          <w:szCs w:val="26"/>
          <w:rtl/>
        </w:rPr>
        <w:t>, באמצעות פרסום ראוי של הפניה המוקדמת והמענה לה באופן שיאפשר פיקוח של הציבור על קיום ההתחייבויות</w:t>
      </w:r>
      <w:r w:rsidR="00BD6CF2" w:rsidRPr="00BD6CF2">
        <w:rPr>
          <w:color w:val="000000"/>
          <w:sz w:val="26"/>
          <w:szCs w:val="26"/>
          <w:rtl/>
        </w:rPr>
        <w:t>.</w:t>
      </w:r>
    </w:p>
    <w:p w14:paraId="77050BC0" w14:textId="457975DA" w:rsidR="00C44D9E" w:rsidRDefault="008445B0" w:rsidP="0098064D">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lastRenderedPageBreak/>
        <w:t xml:space="preserve">להלן יפורטו המקרים שבהם תתקיים חובת פניה מוקדמת: ראשית, </w:t>
      </w:r>
      <w:r w:rsidR="004F00D0">
        <w:rPr>
          <w:rFonts w:hint="cs"/>
          <w:color w:val="000000"/>
          <w:sz w:val="26"/>
          <w:szCs w:val="26"/>
          <w:rtl/>
        </w:rPr>
        <w:t>בתביעות</w:t>
      </w:r>
      <w:r w:rsidR="00384E5F">
        <w:rPr>
          <w:rFonts w:hint="cs"/>
          <w:color w:val="000000"/>
          <w:sz w:val="26"/>
          <w:szCs w:val="26"/>
          <w:rtl/>
        </w:rPr>
        <w:t xml:space="preserve"> בהליך מותאם כנגד עסק זעיר</w:t>
      </w:r>
      <w:r w:rsidR="004F00D0">
        <w:rPr>
          <w:rFonts w:hint="cs"/>
          <w:color w:val="000000"/>
          <w:sz w:val="26"/>
          <w:szCs w:val="26"/>
          <w:rtl/>
        </w:rPr>
        <w:t xml:space="preserve"> בעילות שייקבעו בתוספת הרביעית, </w:t>
      </w:r>
      <w:r>
        <w:rPr>
          <w:rFonts w:hint="cs"/>
          <w:color w:val="000000"/>
          <w:sz w:val="26"/>
          <w:szCs w:val="26"/>
          <w:rtl/>
        </w:rPr>
        <w:t xml:space="preserve">שבהן </w:t>
      </w:r>
      <w:r w:rsidR="00BD6CF2">
        <w:rPr>
          <w:rFonts w:hint="cs"/>
          <w:color w:val="000000"/>
          <w:sz w:val="26"/>
          <w:szCs w:val="26"/>
          <w:rtl/>
        </w:rPr>
        <w:t xml:space="preserve">התועלת היא בעיקר ביחס לתיקון ההתנהלות העתידית או שמדובר בסוגי תביעות שממילא </w:t>
      </w:r>
      <w:r w:rsidR="00BD6CF2" w:rsidRPr="00BD6CF2">
        <w:rPr>
          <w:color w:val="000000"/>
          <w:sz w:val="26"/>
          <w:szCs w:val="26"/>
          <w:rtl/>
        </w:rPr>
        <w:t>מסתיימות</w:t>
      </w:r>
      <w:r w:rsidR="00BD6CF2" w:rsidRPr="00BD6CF2">
        <w:rPr>
          <w:rFonts w:hint="cs"/>
          <w:color w:val="000000"/>
          <w:sz w:val="26"/>
          <w:szCs w:val="26"/>
          <w:rtl/>
        </w:rPr>
        <w:t xml:space="preserve">, </w:t>
      </w:r>
      <w:r w:rsidR="004D13F0">
        <w:rPr>
          <w:rFonts w:hint="cs"/>
          <w:color w:val="000000"/>
          <w:sz w:val="26"/>
          <w:szCs w:val="26"/>
          <w:rtl/>
        </w:rPr>
        <w:t xml:space="preserve">כיום, </w:t>
      </w:r>
      <w:r w:rsidR="00BD6CF2" w:rsidRPr="00BD6CF2">
        <w:rPr>
          <w:rFonts w:hint="cs"/>
          <w:color w:val="000000"/>
          <w:sz w:val="26"/>
          <w:szCs w:val="26"/>
          <w:rtl/>
        </w:rPr>
        <w:t>פעמים רבות,</w:t>
      </w:r>
      <w:r w:rsidR="00BD6CF2" w:rsidRPr="00BD6CF2">
        <w:rPr>
          <w:color w:val="000000"/>
          <w:sz w:val="26"/>
          <w:szCs w:val="26"/>
          <w:rtl/>
        </w:rPr>
        <w:t xml:space="preserve"> בהסתלקות</w:t>
      </w:r>
      <w:r w:rsidR="00BD6CF2" w:rsidRPr="00BD6CF2">
        <w:rPr>
          <w:rFonts w:hint="cs"/>
          <w:color w:val="000000"/>
          <w:sz w:val="26"/>
          <w:szCs w:val="26"/>
          <w:rtl/>
        </w:rPr>
        <w:t xml:space="preserve"> </w:t>
      </w:r>
      <w:r w:rsidR="00BD6CF2" w:rsidRPr="00BD6CF2">
        <w:rPr>
          <w:color w:val="000000"/>
          <w:sz w:val="26"/>
          <w:szCs w:val="26"/>
          <w:rtl/>
        </w:rPr>
        <w:t>ו</w:t>
      </w:r>
      <w:r w:rsidR="00BD6CF2">
        <w:rPr>
          <w:rFonts w:hint="cs"/>
          <w:color w:val="000000"/>
          <w:sz w:val="26"/>
          <w:szCs w:val="26"/>
          <w:rtl/>
        </w:rPr>
        <w:t>ללא</w:t>
      </w:r>
      <w:r w:rsidR="00BD6CF2" w:rsidRPr="00BD6CF2">
        <w:rPr>
          <w:color w:val="000000"/>
          <w:sz w:val="26"/>
          <w:szCs w:val="26"/>
          <w:rtl/>
        </w:rPr>
        <w:t xml:space="preserve"> </w:t>
      </w:r>
      <w:r w:rsidR="00BD6CF2">
        <w:rPr>
          <w:rFonts w:hint="cs"/>
          <w:color w:val="000000"/>
          <w:sz w:val="26"/>
          <w:szCs w:val="26"/>
          <w:rtl/>
        </w:rPr>
        <w:t xml:space="preserve">סעד לקבוצה. </w:t>
      </w:r>
      <w:r w:rsidR="00B54D7C">
        <w:rPr>
          <w:rFonts w:hint="cs"/>
          <w:color w:val="000000"/>
          <w:sz w:val="26"/>
          <w:szCs w:val="26"/>
          <w:rtl/>
        </w:rPr>
        <w:t>שנית, בתביעות בעילות שבתוספת הרביעית שהן כנגד עסק קטן ובינוני. שלישית,</w:t>
      </w:r>
      <w:r w:rsidR="00223C94">
        <w:rPr>
          <w:rFonts w:hint="cs"/>
          <w:color w:val="000000"/>
          <w:sz w:val="26"/>
          <w:szCs w:val="26"/>
          <w:rtl/>
        </w:rPr>
        <w:t xml:space="preserve"> בתביעה כנגד עסק זעיר</w:t>
      </w:r>
      <w:r w:rsidR="00384E5F">
        <w:rPr>
          <w:rFonts w:hint="cs"/>
          <w:color w:val="000000"/>
          <w:sz w:val="26"/>
          <w:szCs w:val="26"/>
          <w:rtl/>
        </w:rPr>
        <w:t xml:space="preserve"> בכל עילה</w:t>
      </w:r>
      <w:r w:rsidR="00223C94">
        <w:rPr>
          <w:rFonts w:hint="cs"/>
          <w:color w:val="000000"/>
          <w:sz w:val="26"/>
          <w:szCs w:val="26"/>
          <w:rtl/>
        </w:rPr>
        <w:t>.</w:t>
      </w:r>
      <w:r w:rsidR="00384E5F">
        <w:rPr>
          <w:rFonts w:hint="cs"/>
          <w:color w:val="000000"/>
          <w:sz w:val="26"/>
          <w:szCs w:val="26"/>
          <w:rtl/>
        </w:rPr>
        <w:t xml:space="preserve"> </w:t>
      </w:r>
      <w:r w:rsidR="00B54D7C">
        <w:rPr>
          <w:rFonts w:hint="cs"/>
          <w:color w:val="000000"/>
          <w:sz w:val="26"/>
          <w:szCs w:val="26"/>
          <w:rtl/>
        </w:rPr>
        <w:t>רביעית</w:t>
      </w:r>
      <w:r w:rsidR="00223C94">
        <w:rPr>
          <w:rFonts w:hint="cs"/>
          <w:color w:val="000000"/>
          <w:sz w:val="26"/>
          <w:szCs w:val="26"/>
          <w:rtl/>
        </w:rPr>
        <w:t xml:space="preserve">, </w:t>
      </w:r>
      <w:r w:rsidR="00BD6CF2">
        <w:rPr>
          <w:rFonts w:hint="cs"/>
          <w:color w:val="000000"/>
          <w:sz w:val="26"/>
          <w:szCs w:val="26"/>
          <w:rtl/>
        </w:rPr>
        <w:t>מוצע כי מעבר לתביעות לצו עשה אשר נכללות בתוספת הרביעית, במקרה שבו המבקש הייצוגי מבקש להגיש תביעה לצו עשה</w:t>
      </w:r>
      <w:r w:rsidR="00223C94">
        <w:rPr>
          <w:rFonts w:hint="cs"/>
          <w:color w:val="000000"/>
          <w:sz w:val="26"/>
          <w:szCs w:val="26"/>
          <w:rtl/>
        </w:rPr>
        <w:t>,</w:t>
      </w:r>
      <w:r w:rsidR="00AB2AAA">
        <w:rPr>
          <w:rFonts w:hint="cs"/>
          <w:color w:val="000000"/>
          <w:sz w:val="26"/>
          <w:szCs w:val="26"/>
          <w:rtl/>
        </w:rPr>
        <w:t xml:space="preserve"> </w:t>
      </w:r>
      <w:r w:rsidR="00BD6CF2">
        <w:rPr>
          <w:rFonts w:hint="cs"/>
          <w:color w:val="000000"/>
          <w:sz w:val="26"/>
          <w:szCs w:val="26"/>
          <w:rtl/>
        </w:rPr>
        <w:t xml:space="preserve">תהיה חובת פנייה מוקדמת. </w:t>
      </w:r>
      <w:r w:rsidR="0098064D">
        <w:rPr>
          <w:rFonts w:hint="cs"/>
          <w:color w:val="000000"/>
          <w:sz w:val="26"/>
          <w:szCs w:val="26"/>
          <w:rtl/>
        </w:rPr>
        <w:t xml:space="preserve">כלומר, </w:t>
      </w:r>
      <w:r w:rsidR="00BD6CF2" w:rsidRPr="00BD6CF2">
        <w:rPr>
          <w:rFonts w:hint="cs"/>
          <w:color w:val="000000"/>
          <w:sz w:val="26"/>
          <w:szCs w:val="26"/>
          <w:rtl/>
        </w:rPr>
        <w:t xml:space="preserve">בכל עילה אחרת שאינה קבועה בתוספת </w:t>
      </w:r>
      <w:r w:rsidR="00BD6CF2">
        <w:rPr>
          <w:rFonts w:hint="cs"/>
          <w:color w:val="000000"/>
          <w:sz w:val="26"/>
          <w:szCs w:val="26"/>
          <w:rtl/>
        </w:rPr>
        <w:t>הרביעית,</w:t>
      </w:r>
      <w:r w:rsidR="00BD6CF2" w:rsidRPr="00BD6CF2">
        <w:rPr>
          <w:rFonts w:hint="cs"/>
          <w:color w:val="000000"/>
          <w:sz w:val="26"/>
          <w:szCs w:val="26"/>
          <w:rtl/>
        </w:rPr>
        <w:t xml:space="preserve"> תהיה ל</w:t>
      </w:r>
      <w:r w:rsidR="00BD6CF2">
        <w:rPr>
          <w:rFonts w:hint="cs"/>
          <w:color w:val="000000"/>
          <w:sz w:val="26"/>
          <w:szCs w:val="26"/>
          <w:rtl/>
        </w:rPr>
        <w:t>מבקש</w:t>
      </w:r>
      <w:r w:rsidR="00BD6CF2" w:rsidRPr="00BD6CF2">
        <w:rPr>
          <w:rFonts w:hint="cs"/>
          <w:color w:val="000000"/>
          <w:sz w:val="26"/>
          <w:szCs w:val="26"/>
          <w:rtl/>
        </w:rPr>
        <w:t xml:space="preserve"> הייצוגי ולבא כוחו בחירה האם להגיש תובענה ייצוגית לסעד הצהרתי או תובענה ייצוגית לפיצויים. ככל </w:t>
      </w:r>
      <w:r w:rsidR="00BD6CF2" w:rsidRPr="00F32692">
        <w:rPr>
          <w:rFonts w:hint="cs"/>
          <w:color w:val="000000"/>
          <w:sz w:val="26"/>
          <w:szCs w:val="26"/>
          <w:rtl/>
        </w:rPr>
        <w:t xml:space="preserve">שבחרו להגיש תובענה ייצוגית לסעד הצהרתי, תחול חובה לערוך פניה מוקדמת בטרם הגשת תביעה לסעד הצהרתי. </w:t>
      </w:r>
      <w:r w:rsidR="00C44D9E" w:rsidRPr="00F32692">
        <w:rPr>
          <w:rFonts w:hint="cs"/>
          <w:color w:val="000000"/>
          <w:sz w:val="26"/>
          <w:szCs w:val="26"/>
          <w:rtl/>
        </w:rPr>
        <w:t xml:space="preserve">על מנת לתמרץ את המבקש </w:t>
      </w:r>
      <w:r w:rsidR="00D213E6" w:rsidRPr="00F32692">
        <w:rPr>
          <w:rFonts w:hint="cs"/>
          <w:color w:val="000000"/>
          <w:sz w:val="26"/>
          <w:szCs w:val="26"/>
          <w:rtl/>
        </w:rPr>
        <w:t>ה</w:t>
      </w:r>
      <w:r w:rsidR="00C44D9E" w:rsidRPr="00F32692">
        <w:rPr>
          <w:rFonts w:hint="cs"/>
          <w:color w:val="000000"/>
          <w:sz w:val="26"/>
          <w:szCs w:val="26"/>
          <w:rtl/>
        </w:rPr>
        <w:t xml:space="preserve">ייצוגי ובא כוחו להגיש תביעה לצו עשה במקרים המתאימים, מוצע לקבוע בסעיף </w:t>
      </w:r>
      <w:r w:rsidR="00C44D9E" w:rsidRPr="00F32692">
        <w:rPr>
          <w:color w:val="000000"/>
          <w:sz w:val="26"/>
          <w:szCs w:val="26"/>
          <w:rtl/>
        </w:rPr>
        <w:t>23(</w:t>
      </w:r>
      <w:r w:rsidR="001E5F7D" w:rsidRPr="00F32692">
        <w:rPr>
          <w:rFonts w:hint="eastAsia"/>
          <w:color w:val="000000"/>
          <w:sz w:val="26"/>
          <w:szCs w:val="26"/>
          <w:rtl/>
        </w:rPr>
        <w:t>ט</w:t>
      </w:r>
      <w:r w:rsidR="00C44D9E" w:rsidRPr="00F32692">
        <w:rPr>
          <w:color w:val="000000"/>
          <w:sz w:val="26"/>
          <w:szCs w:val="26"/>
          <w:rtl/>
        </w:rPr>
        <w:t xml:space="preserve">) </w:t>
      </w:r>
      <w:r w:rsidR="00C44D9E" w:rsidRPr="00F32692">
        <w:rPr>
          <w:rFonts w:hint="eastAsia"/>
          <w:color w:val="000000"/>
          <w:sz w:val="26"/>
          <w:szCs w:val="26"/>
          <w:rtl/>
        </w:rPr>
        <w:t>לחוק</w:t>
      </w:r>
      <w:r w:rsidR="00C44D9E" w:rsidRPr="00F32692">
        <w:rPr>
          <w:rFonts w:hint="cs"/>
          <w:color w:val="000000"/>
          <w:sz w:val="26"/>
          <w:szCs w:val="26"/>
          <w:rtl/>
        </w:rPr>
        <w:t xml:space="preserve"> כי ככל שתוגש תובענה ייצוגית לפיצויים והיא תסתיים </w:t>
      </w:r>
      <w:r w:rsidR="00DC1288" w:rsidRPr="00F32692">
        <w:rPr>
          <w:rFonts w:hint="cs"/>
          <w:color w:val="000000"/>
          <w:sz w:val="26"/>
          <w:szCs w:val="26"/>
          <w:rtl/>
        </w:rPr>
        <w:t xml:space="preserve">בהסדר פשרה </w:t>
      </w:r>
      <w:r w:rsidR="00C44D9E" w:rsidRPr="00F32692">
        <w:rPr>
          <w:rFonts w:hint="cs"/>
          <w:color w:val="000000"/>
          <w:sz w:val="26"/>
          <w:szCs w:val="26"/>
          <w:rtl/>
        </w:rPr>
        <w:t xml:space="preserve">ללא פיצוי לציבור, בית המשפט לא יהיה רשאי לפסוק למבקש הייצוגי ובא כוחו גמול ושכר טרחה כלל. </w:t>
      </w:r>
      <w:r w:rsidR="00BD6CF2" w:rsidRPr="00F32692">
        <w:rPr>
          <w:rFonts w:hint="cs"/>
          <w:color w:val="000000"/>
          <w:sz w:val="26"/>
          <w:szCs w:val="26"/>
          <w:rtl/>
        </w:rPr>
        <w:t>ההנחה היא שעילות מסוימות שממילא מסתיימות בהסתלקות מתוגמלת</w:t>
      </w:r>
      <w:r w:rsidR="00BD6CF2" w:rsidRPr="00F32692">
        <w:rPr>
          <w:color w:val="000000"/>
          <w:sz w:val="26"/>
          <w:szCs w:val="26"/>
          <w:rtl/>
        </w:rPr>
        <w:t xml:space="preserve"> בסכומים נמוכים</w:t>
      </w:r>
      <w:r w:rsidR="00BD6CF2" w:rsidRPr="00F32692">
        <w:rPr>
          <w:rFonts w:hint="cs"/>
          <w:color w:val="000000"/>
          <w:sz w:val="26"/>
          <w:szCs w:val="26"/>
          <w:rtl/>
        </w:rPr>
        <w:t xml:space="preserve"> ואשר לא מנויות בתוספת הרביעית, ינותבו למנגנון </w:t>
      </w:r>
      <w:r w:rsidR="00C44D9E" w:rsidRPr="00F32692">
        <w:rPr>
          <w:color w:val="000000"/>
          <w:sz w:val="26"/>
          <w:szCs w:val="26"/>
          <w:rtl/>
        </w:rPr>
        <w:t>המוצע</w:t>
      </w:r>
      <w:r w:rsidR="00C44D9E" w:rsidRPr="00F32692">
        <w:rPr>
          <w:rFonts w:hint="cs"/>
          <w:color w:val="000000"/>
          <w:sz w:val="26"/>
          <w:szCs w:val="26"/>
          <w:rtl/>
        </w:rPr>
        <w:t>.</w:t>
      </w:r>
      <w:r w:rsidR="00F73035" w:rsidRPr="00F32692">
        <w:rPr>
          <w:rFonts w:hint="cs"/>
          <w:color w:val="000000"/>
          <w:sz w:val="26"/>
          <w:szCs w:val="26"/>
          <w:rtl/>
        </w:rPr>
        <w:t xml:space="preserve"> בהמשך לכך, מוצע לקבוע בסעיף 16 לחוק</w:t>
      </w:r>
      <w:r w:rsidR="00454C8D" w:rsidRPr="00F32692">
        <w:rPr>
          <w:rFonts w:hint="cs"/>
          <w:color w:val="000000"/>
          <w:sz w:val="26"/>
          <w:szCs w:val="26"/>
          <w:rtl/>
        </w:rPr>
        <w:t>,</w:t>
      </w:r>
      <w:r w:rsidR="00F73035" w:rsidRPr="00F32692">
        <w:rPr>
          <w:rFonts w:hint="cs"/>
          <w:color w:val="000000"/>
          <w:sz w:val="26"/>
          <w:szCs w:val="26"/>
          <w:rtl/>
        </w:rPr>
        <w:t xml:space="preserve"> בסעיף </w:t>
      </w:r>
      <w:r w:rsidR="000D6B9A" w:rsidRPr="00F32692">
        <w:rPr>
          <w:rFonts w:hint="cs"/>
          <w:color w:val="000000"/>
          <w:sz w:val="26"/>
          <w:szCs w:val="26"/>
          <w:rtl/>
        </w:rPr>
        <w:t xml:space="preserve">11 </w:t>
      </w:r>
      <w:r w:rsidR="00F73035" w:rsidRPr="00F32692">
        <w:rPr>
          <w:rFonts w:hint="cs"/>
          <w:color w:val="000000"/>
          <w:sz w:val="26"/>
          <w:szCs w:val="26"/>
          <w:rtl/>
        </w:rPr>
        <w:t>המוצע</w:t>
      </w:r>
      <w:r w:rsidR="00364997">
        <w:rPr>
          <w:rFonts w:hint="cs"/>
          <w:color w:val="000000"/>
          <w:sz w:val="26"/>
          <w:szCs w:val="26"/>
          <w:rtl/>
        </w:rPr>
        <w:t xml:space="preserve"> לתזכיר זה</w:t>
      </w:r>
      <w:r w:rsidR="00454C8D">
        <w:rPr>
          <w:rFonts w:hint="cs"/>
          <w:color w:val="000000"/>
          <w:sz w:val="26"/>
          <w:szCs w:val="26"/>
          <w:rtl/>
        </w:rPr>
        <w:t xml:space="preserve">, </w:t>
      </w:r>
      <w:r w:rsidR="00F73035">
        <w:rPr>
          <w:rFonts w:hint="cs"/>
          <w:color w:val="000000"/>
          <w:sz w:val="26"/>
          <w:szCs w:val="26"/>
          <w:rtl/>
        </w:rPr>
        <w:t xml:space="preserve">כי לא תהיה עוד אפשרות להסתלק מההליך תוך קבלת גמול ושכר טרחה. </w:t>
      </w:r>
      <w:r w:rsidR="00D7277D">
        <w:rPr>
          <w:rFonts w:hint="cs"/>
          <w:color w:val="000000"/>
          <w:sz w:val="26"/>
          <w:szCs w:val="26"/>
          <w:rtl/>
        </w:rPr>
        <w:t xml:space="preserve">עוד יובהר כי ביחס לתביעות לצו עשה, ככל שהנתבע לא תיקן את ההפרה בזמן הקובע או לא הסכים לתיקון ההפרה, הפונה יהיה רשאי להגיש בקשה לאישור </w:t>
      </w:r>
      <w:r w:rsidR="00D7277D" w:rsidRPr="00F32692">
        <w:rPr>
          <w:rFonts w:hint="cs"/>
          <w:color w:val="000000"/>
          <w:sz w:val="26"/>
          <w:szCs w:val="26"/>
          <w:rtl/>
        </w:rPr>
        <w:t>תובענה ייצוגית וזאת בהתאם ליתר הוראות החוק.</w:t>
      </w:r>
    </w:p>
    <w:p w14:paraId="12D46682" w14:textId="5FAAF94B" w:rsidR="00384E5F" w:rsidRDefault="00223C94" w:rsidP="000E5076">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בתביעות </w:t>
      </w:r>
      <w:r w:rsidR="00384E5F">
        <w:rPr>
          <w:rFonts w:hint="cs"/>
          <w:color w:val="000000"/>
          <w:sz w:val="26"/>
          <w:szCs w:val="26"/>
          <w:rtl/>
        </w:rPr>
        <w:t xml:space="preserve">בהליך מותאם </w:t>
      </w:r>
      <w:r w:rsidR="00B54D7C">
        <w:rPr>
          <w:rFonts w:hint="cs"/>
          <w:color w:val="000000"/>
          <w:sz w:val="26"/>
          <w:szCs w:val="26"/>
          <w:rtl/>
        </w:rPr>
        <w:t xml:space="preserve">כנגד עסק זעיר, בתביעות כנגד עסק קטן ובינוני שבתוספת הרביעית </w:t>
      </w:r>
      <w:r>
        <w:rPr>
          <w:rFonts w:hint="cs"/>
          <w:color w:val="000000"/>
          <w:sz w:val="26"/>
          <w:szCs w:val="26"/>
          <w:rtl/>
        </w:rPr>
        <w:t xml:space="preserve">ובתביעות לצו עשה, </w:t>
      </w:r>
      <w:r w:rsidR="00532F07">
        <w:rPr>
          <w:rFonts w:hint="cs"/>
          <w:color w:val="000000"/>
          <w:sz w:val="26"/>
          <w:szCs w:val="26"/>
          <w:rtl/>
        </w:rPr>
        <w:t>רק ככל שהנתבע לא תיקן את ההפרה הנטענת בתוך 60 יום מיום קבלת ההודעה</w:t>
      </w:r>
      <w:r w:rsidR="0082040B">
        <w:rPr>
          <w:rFonts w:hint="cs"/>
          <w:color w:val="000000"/>
          <w:sz w:val="26"/>
          <w:szCs w:val="26"/>
          <w:rtl/>
        </w:rPr>
        <w:t>, ניתן יהיה להגיש את התובענה הייצוגית.</w:t>
      </w:r>
      <w:r w:rsidR="00384E5F">
        <w:rPr>
          <w:rFonts w:hint="cs"/>
          <w:color w:val="000000"/>
          <w:sz w:val="26"/>
          <w:szCs w:val="26"/>
          <w:rtl/>
        </w:rPr>
        <w:t xml:space="preserve"> ככל שמדובר בעסק זעיר</w:t>
      </w:r>
      <w:r w:rsidR="0020144A">
        <w:rPr>
          <w:rFonts w:hint="cs"/>
          <w:color w:val="000000"/>
          <w:sz w:val="26"/>
          <w:szCs w:val="26"/>
          <w:rtl/>
        </w:rPr>
        <w:t xml:space="preserve"> והעילה מנויה בתוספת הרביעית,</w:t>
      </w:r>
      <w:r w:rsidR="00384E5F">
        <w:rPr>
          <w:rFonts w:hint="cs"/>
          <w:color w:val="000000"/>
          <w:sz w:val="26"/>
          <w:szCs w:val="26"/>
          <w:rtl/>
        </w:rPr>
        <w:t xml:space="preserve"> התובענה הייצוגית שניתן יהיה להגיש לאחר שהפניה המוקדמת לא נענתה או נענתה בשלילה היא תובענה לצו עשה בלבד. </w:t>
      </w:r>
      <w:r w:rsidR="001E06DB">
        <w:rPr>
          <w:rFonts w:hint="cs"/>
          <w:color w:val="000000"/>
          <w:sz w:val="26"/>
          <w:szCs w:val="26"/>
          <w:rtl/>
        </w:rPr>
        <w:t>יובהר כי בעסק זעיר,</w:t>
      </w:r>
      <w:r w:rsidR="0098064D">
        <w:rPr>
          <w:rFonts w:hint="cs"/>
          <w:color w:val="000000"/>
          <w:sz w:val="26"/>
          <w:szCs w:val="26"/>
          <w:rtl/>
        </w:rPr>
        <w:t xml:space="preserve"> בכל עילה ש</w:t>
      </w:r>
      <w:r w:rsidR="000D6494">
        <w:rPr>
          <w:rFonts w:hint="cs"/>
          <w:color w:val="000000"/>
          <w:sz w:val="26"/>
          <w:szCs w:val="26"/>
          <w:rtl/>
        </w:rPr>
        <w:t>לא מנויה</w:t>
      </w:r>
      <w:r w:rsidR="0098064D">
        <w:rPr>
          <w:rFonts w:hint="cs"/>
          <w:color w:val="000000"/>
          <w:sz w:val="26"/>
          <w:szCs w:val="26"/>
          <w:rtl/>
        </w:rPr>
        <w:t xml:space="preserve"> בתוספת הרביעית, גם אם הפניה המוקדמת נענתה בחיוב והעסק הזעיר תיקן את ההפרה ביחס לעתיד, עדיין תהיה פתוחה הדרך להגיש תובענה ייצוגית לפיצויים. </w:t>
      </w:r>
      <w:r w:rsidR="00B54D7C">
        <w:rPr>
          <w:rFonts w:hint="cs"/>
          <w:color w:val="000000"/>
          <w:sz w:val="26"/>
          <w:szCs w:val="26"/>
          <w:rtl/>
        </w:rPr>
        <w:t xml:space="preserve">ככל שמדובר בעסק קטן ובינוני והעילה מנויה בתוספת הרביעית, אם הפניה המוקדמת לא נענתה או נענתה בשלילה, ניתן יהיה להגיש תובענה ייצוגית לצו עשה או לפיצויים. </w:t>
      </w:r>
      <w:r w:rsidR="00384E5F">
        <w:rPr>
          <w:rFonts w:hint="cs"/>
          <w:color w:val="000000"/>
          <w:sz w:val="26"/>
          <w:szCs w:val="26"/>
          <w:rtl/>
        </w:rPr>
        <w:t>ככל שמדובר בגוף שאינו עסק זעיר, קטן או בינוני  (כלומר, עסק גדול וכן ביחס לרשויות), אין חובה לערוך פניה מוקדמת</w:t>
      </w:r>
      <w:r w:rsidR="0098064D">
        <w:rPr>
          <w:rFonts w:hint="cs"/>
          <w:color w:val="000000"/>
          <w:sz w:val="26"/>
          <w:szCs w:val="26"/>
          <w:rtl/>
        </w:rPr>
        <w:t xml:space="preserve"> בעילות שבתוספת הרביעית לחוק</w:t>
      </w:r>
      <w:r w:rsidR="00384E5F">
        <w:rPr>
          <w:rFonts w:hint="cs"/>
          <w:color w:val="000000"/>
          <w:sz w:val="26"/>
          <w:szCs w:val="26"/>
          <w:rtl/>
        </w:rPr>
        <w:t xml:space="preserve">. </w:t>
      </w:r>
    </w:p>
    <w:p w14:paraId="6DCD267E" w14:textId="0244AFF4" w:rsidR="00EA54D8" w:rsidRDefault="00024D74" w:rsidP="00AF6209">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לצורך הגשת פניה מוקדמת כאמור, ישלם</w:t>
      </w:r>
      <w:r w:rsidR="00C44D9E">
        <w:rPr>
          <w:rFonts w:hint="cs"/>
          <w:color w:val="000000"/>
          <w:sz w:val="26"/>
          <w:szCs w:val="26"/>
          <w:rtl/>
        </w:rPr>
        <w:t xml:space="preserve"> הפונה </w:t>
      </w:r>
      <w:r w:rsidR="00E8302E">
        <w:rPr>
          <w:rFonts w:hint="cs"/>
          <w:color w:val="000000"/>
          <w:sz w:val="26"/>
          <w:szCs w:val="26"/>
          <w:rtl/>
        </w:rPr>
        <w:t xml:space="preserve">אגרה </w:t>
      </w:r>
      <w:r w:rsidR="00EA54D8">
        <w:rPr>
          <w:rFonts w:hint="cs"/>
          <w:color w:val="000000"/>
          <w:sz w:val="26"/>
          <w:szCs w:val="26"/>
          <w:rtl/>
        </w:rPr>
        <w:t>אשר ייקבע בתקנות תובענות ייצוגיות, התש"ע-2010.</w:t>
      </w:r>
      <w:r w:rsidR="00F73035" w:rsidRPr="00F73035">
        <w:rPr>
          <w:rFonts w:hint="cs"/>
          <w:color w:val="000000"/>
          <w:sz w:val="26"/>
          <w:szCs w:val="26"/>
          <w:rtl/>
        </w:rPr>
        <w:t xml:space="preserve"> </w:t>
      </w:r>
      <w:r w:rsidR="00F73035">
        <w:rPr>
          <w:rFonts w:hint="cs"/>
          <w:color w:val="000000"/>
          <w:sz w:val="26"/>
          <w:szCs w:val="26"/>
          <w:rtl/>
        </w:rPr>
        <w:t xml:space="preserve">עוד יצוין כי לצורך מענה לפניה המוקדמת, נתבע יוכל לטפל בפניה בהוצאות יחסית נמוכות ובחלק </w:t>
      </w:r>
      <w:r w:rsidR="00F73035" w:rsidRPr="00C44D9E">
        <w:rPr>
          <w:rFonts w:hint="cs"/>
          <w:color w:val="000000"/>
          <w:sz w:val="26"/>
          <w:szCs w:val="26"/>
          <w:rtl/>
        </w:rPr>
        <w:t>מהמקרים ללא צורך בשכירת שירותיו של עורך דין,</w:t>
      </w:r>
      <w:r w:rsidR="00F73035" w:rsidRPr="00C44D9E">
        <w:rPr>
          <w:color w:val="000000"/>
          <w:sz w:val="26"/>
          <w:szCs w:val="26"/>
          <w:rtl/>
        </w:rPr>
        <w:t xml:space="preserve"> שכן הוא </w:t>
      </w:r>
      <w:r w:rsidR="008445B0">
        <w:rPr>
          <w:rFonts w:hint="cs"/>
          <w:color w:val="000000"/>
          <w:sz w:val="26"/>
          <w:szCs w:val="26"/>
          <w:rtl/>
        </w:rPr>
        <w:t>יידרש ל</w:t>
      </w:r>
      <w:r w:rsidR="00F73035" w:rsidRPr="00C44D9E">
        <w:rPr>
          <w:color w:val="000000"/>
          <w:sz w:val="26"/>
          <w:szCs w:val="26"/>
          <w:rtl/>
        </w:rPr>
        <w:t>תיקון ההפרה שבגינה הוגשה הפניה המוקדמת</w:t>
      </w:r>
      <w:r w:rsidR="00F73035" w:rsidRPr="00C44D9E">
        <w:rPr>
          <w:rFonts w:hint="cs"/>
          <w:color w:val="000000"/>
          <w:sz w:val="26"/>
          <w:szCs w:val="26"/>
          <w:rtl/>
        </w:rPr>
        <w:t xml:space="preserve"> ותשלום </w:t>
      </w:r>
      <w:r w:rsidR="00F73035">
        <w:rPr>
          <w:rFonts w:hint="cs"/>
          <w:color w:val="000000"/>
          <w:sz w:val="26"/>
          <w:szCs w:val="26"/>
          <w:rtl/>
        </w:rPr>
        <w:t>התגמול</w:t>
      </w:r>
      <w:r w:rsidR="008445B0">
        <w:rPr>
          <w:rFonts w:hint="cs"/>
          <w:color w:val="000000"/>
          <w:sz w:val="26"/>
          <w:szCs w:val="26"/>
          <w:rtl/>
        </w:rPr>
        <w:t xml:space="preserve"> בלבד</w:t>
      </w:r>
      <w:r w:rsidR="00F73035">
        <w:rPr>
          <w:rFonts w:hint="cs"/>
          <w:color w:val="000000"/>
          <w:sz w:val="26"/>
          <w:szCs w:val="26"/>
          <w:rtl/>
        </w:rPr>
        <w:t xml:space="preserve">. </w:t>
      </w:r>
    </w:p>
    <w:p w14:paraId="4B673412" w14:textId="7E701378" w:rsidR="006479D1" w:rsidRDefault="00275D1B" w:rsidP="006479D1">
      <w:pPr>
        <w:tabs>
          <w:tab w:val="left" w:pos="1020"/>
        </w:tabs>
        <w:autoSpaceDE w:val="0"/>
        <w:autoSpaceDN w:val="0"/>
        <w:adjustRightInd w:val="0"/>
        <w:snapToGrid w:val="0"/>
        <w:ind w:left="0"/>
        <w:contextualSpacing w:val="0"/>
        <w:textAlignment w:val="center"/>
        <w:rPr>
          <w:sz w:val="26"/>
          <w:szCs w:val="26"/>
          <w:rtl/>
        </w:rPr>
      </w:pPr>
      <w:r w:rsidRPr="00EA54D8">
        <w:rPr>
          <w:rFonts w:hint="cs"/>
          <w:color w:val="000000"/>
          <w:sz w:val="26"/>
          <w:szCs w:val="26"/>
          <w:rtl/>
        </w:rPr>
        <w:t xml:space="preserve">על מנת לשמור </w:t>
      </w:r>
      <w:r w:rsidRPr="00EA54D8">
        <w:rPr>
          <w:rFonts w:hint="cs"/>
          <w:sz w:val="26"/>
          <w:szCs w:val="26"/>
          <w:rtl/>
        </w:rPr>
        <w:t xml:space="preserve">על מערך תמריצים </w:t>
      </w:r>
      <w:r w:rsidR="00EA54D8">
        <w:rPr>
          <w:rFonts w:hint="cs"/>
          <w:sz w:val="26"/>
          <w:szCs w:val="26"/>
          <w:rtl/>
        </w:rPr>
        <w:t xml:space="preserve">מתאים אשר נגזר </w:t>
      </w:r>
      <w:r w:rsidR="00EA54D8" w:rsidRPr="00F32692">
        <w:rPr>
          <w:rFonts w:hint="cs"/>
          <w:sz w:val="26"/>
          <w:szCs w:val="26"/>
          <w:rtl/>
        </w:rPr>
        <w:t xml:space="preserve">מאופיו של ההליך הייצוגי, מוצע כי ככל שהנתבע תיקן את ההפרה הנטענת במועד הקובע, </w:t>
      </w:r>
      <w:r w:rsidR="000F2710" w:rsidRPr="00F32692">
        <w:rPr>
          <w:rFonts w:hint="cs"/>
          <w:sz w:val="26"/>
          <w:szCs w:val="26"/>
          <w:rtl/>
        </w:rPr>
        <w:t xml:space="preserve">הנתבע ישלם לפונה תגמול בשיעור הקבוע </w:t>
      </w:r>
      <w:r w:rsidR="00C44D9E" w:rsidRPr="00F32692">
        <w:rPr>
          <w:rFonts w:hint="cs"/>
          <w:color w:val="000000"/>
          <w:sz w:val="26"/>
          <w:szCs w:val="26"/>
          <w:rtl/>
        </w:rPr>
        <w:t xml:space="preserve">בפרט </w:t>
      </w:r>
      <w:r w:rsidR="000F2710" w:rsidRPr="00F32692">
        <w:rPr>
          <w:rFonts w:hint="cs"/>
          <w:color w:val="000000"/>
          <w:sz w:val="26"/>
          <w:szCs w:val="26"/>
          <w:rtl/>
        </w:rPr>
        <w:t>1</w:t>
      </w:r>
      <w:r w:rsidR="00C44D9E" w:rsidRPr="00F32692">
        <w:rPr>
          <w:rFonts w:hint="cs"/>
          <w:color w:val="000000"/>
          <w:sz w:val="26"/>
          <w:szCs w:val="26"/>
          <w:rtl/>
        </w:rPr>
        <w:t xml:space="preserve"> לתוספת החמישית לחוק</w:t>
      </w:r>
      <w:r w:rsidR="004D13F0" w:rsidRPr="00F32692">
        <w:rPr>
          <w:rFonts w:hint="cs"/>
          <w:color w:val="000000"/>
          <w:sz w:val="26"/>
          <w:szCs w:val="26"/>
          <w:rtl/>
        </w:rPr>
        <w:t>.</w:t>
      </w:r>
      <w:r w:rsidR="00C44D9E" w:rsidRPr="00F32692">
        <w:rPr>
          <w:rFonts w:hint="cs"/>
          <w:color w:val="000000"/>
          <w:sz w:val="26"/>
          <w:szCs w:val="26"/>
          <w:rtl/>
        </w:rPr>
        <w:t xml:space="preserve"> </w:t>
      </w:r>
      <w:r w:rsidR="00866AFA" w:rsidRPr="00F32692">
        <w:rPr>
          <w:sz w:val="26"/>
          <w:szCs w:val="26"/>
          <w:rtl/>
        </w:rPr>
        <w:t>יצוין כי המשאבים והעלויות הנדרשים מתובע ייצוגי ומבא כוחו לצורך עריכת פניה מוקדמת הם נמוכים משמעותית בהשוואה להגשת בקשה לבית משפט</w:t>
      </w:r>
      <w:r w:rsidR="004D13F0" w:rsidRPr="00F32692">
        <w:rPr>
          <w:rFonts w:hint="cs"/>
          <w:sz w:val="26"/>
          <w:szCs w:val="26"/>
          <w:rtl/>
        </w:rPr>
        <w:t xml:space="preserve"> וניהול הליך</w:t>
      </w:r>
      <w:r w:rsidR="00866AFA" w:rsidRPr="00F32692">
        <w:rPr>
          <w:sz w:val="26"/>
          <w:szCs w:val="26"/>
          <w:rtl/>
        </w:rPr>
        <w:t>, על כל המשתמע מכך ולכן מוצע להעמיד את הסכום על 1,200 שקלים חדשים.</w:t>
      </w:r>
      <w:r w:rsidR="006479D1" w:rsidRPr="00F32692">
        <w:rPr>
          <w:rFonts w:hint="cs"/>
          <w:sz w:val="26"/>
          <w:szCs w:val="26"/>
          <w:rtl/>
        </w:rPr>
        <w:t xml:space="preserve"> בהקשר זה יצוין כי </w:t>
      </w:r>
      <w:proofErr w:type="spellStart"/>
      <w:r w:rsidR="006479D1" w:rsidRPr="00F32692">
        <w:rPr>
          <w:rFonts w:hint="cs"/>
          <w:sz w:val="26"/>
          <w:szCs w:val="26"/>
          <w:rtl/>
        </w:rPr>
        <w:t>בת"צ</w:t>
      </w:r>
      <w:proofErr w:type="spellEnd"/>
      <w:r w:rsidR="006479D1" w:rsidRPr="00F32692">
        <w:rPr>
          <w:sz w:val="26"/>
          <w:szCs w:val="26"/>
          <w:rtl/>
        </w:rPr>
        <w:t xml:space="preserve"> (מחוזי ת"א) 52621-</w:t>
      </w:r>
      <w:r w:rsidR="006479D1" w:rsidRPr="00F32692">
        <w:rPr>
          <w:sz w:val="26"/>
          <w:szCs w:val="26"/>
          <w:rtl/>
        </w:rPr>
        <w:lastRenderedPageBreak/>
        <w:t>07-23 ראם בן אור נ' אביב בית השקעות בע"מ (</w:t>
      </w:r>
      <w:r w:rsidR="0024017C" w:rsidRPr="00F32692">
        <w:rPr>
          <w:sz w:val="26"/>
          <w:szCs w:val="26"/>
          <w:rtl/>
        </w:rPr>
        <w:t xml:space="preserve">פורסם </w:t>
      </w:r>
      <w:proofErr w:type="spellStart"/>
      <w:r w:rsidR="0024017C" w:rsidRPr="00F32692">
        <w:rPr>
          <w:sz w:val="26"/>
          <w:szCs w:val="26"/>
          <w:rtl/>
        </w:rPr>
        <w:t>באר"ש</w:t>
      </w:r>
      <w:proofErr w:type="spellEnd"/>
      <w:r w:rsidR="0024017C" w:rsidRPr="00F32692">
        <w:rPr>
          <w:sz w:val="26"/>
          <w:szCs w:val="26"/>
          <w:rtl/>
        </w:rPr>
        <w:t>,</w:t>
      </w:r>
      <w:r w:rsidR="006479D1" w:rsidRPr="00F32692">
        <w:rPr>
          <w:sz w:val="26"/>
          <w:szCs w:val="26"/>
          <w:rtl/>
        </w:rPr>
        <w:t xml:space="preserve"> 22.01.2024)</w:t>
      </w:r>
      <w:r w:rsidR="006479D1" w:rsidRPr="00F32692">
        <w:rPr>
          <w:rFonts w:hint="cs"/>
          <w:sz w:val="26"/>
          <w:szCs w:val="26"/>
          <w:rtl/>
        </w:rPr>
        <w:t xml:space="preserve"> בית המשפט פסק גמול ושכר טרחה בסך של 1,000 ₪, תוך שהוא התייחס לכך שסכום זה הוא שווה ערך לטרחה </w:t>
      </w:r>
      <w:r w:rsidR="006479D1" w:rsidRPr="00F32692">
        <w:rPr>
          <w:sz w:val="26"/>
          <w:szCs w:val="26"/>
          <w:rtl/>
        </w:rPr>
        <w:t>שהייתה כרוכה במשלוח מכתב של פנייה מוקדמת</w:t>
      </w:r>
      <w:r w:rsidR="006479D1" w:rsidRPr="00F32692">
        <w:rPr>
          <w:rFonts w:hint="cs"/>
          <w:sz w:val="26"/>
          <w:szCs w:val="26"/>
          <w:rtl/>
        </w:rPr>
        <w:t>.</w:t>
      </w:r>
    </w:p>
    <w:p w14:paraId="487B001C" w14:textId="754F8A80" w:rsidR="00275D1B" w:rsidRPr="00F73035" w:rsidRDefault="00F73035" w:rsidP="00EB3FEE">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בנוסף</w:t>
      </w:r>
      <w:r w:rsidRPr="00F32692">
        <w:rPr>
          <w:rFonts w:hint="cs"/>
          <w:sz w:val="26"/>
          <w:szCs w:val="26"/>
          <w:rtl/>
        </w:rPr>
        <w:t xml:space="preserve">, מוצע </w:t>
      </w:r>
      <w:r w:rsidR="00B1463D" w:rsidRPr="00F32692">
        <w:rPr>
          <w:rFonts w:hint="eastAsia"/>
          <w:sz w:val="26"/>
          <w:szCs w:val="26"/>
          <w:rtl/>
        </w:rPr>
        <w:t>בסעיף</w:t>
      </w:r>
      <w:r w:rsidR="00B1463D" w:rsidRPr="00F32692">
        <w:rPr>
          <w:sz w:val="26"/>
          <w:szCs w:val="26"/>
          <w:rtl/>
        </w:rPr>
        <w:t xml:space="preserve"> </w:t>
      </w:r>
      <w:r w:rsidR="00B1463D" w:rsidRPr="00F32692">
        <w:rPr>
          <w:rFonts w:hint="eastAsia"/>
          <w:sz w:val="26"/>
          <w:szCs w:val="26"/>
          <w:rtl/>
        </w:rPr>
        <w:t>קטן</w:t>
      </w:r>
      <w:r w:rsidR="00B1463D" w:rsidRPr="00F32692">
        <w:rPr>
          <w:sz w:val="26"/>
          <w:szCs w:val="26"/>
          <w:rtl/>
        </w:rPr>
        <w:t xml:space="preserve"> (</w:t>
      </w:r>
      <w:r w:rsidR="00F32692" w:rsidRPr="00F32692">
        <w:rPr>
          <w:rFonts w:hint="cs"/>
          <w:sz w:val="26"/>
          <w:szCs w:val="26"/>
          <w:rtl/>
        </w:rPr>
        <w:t>ד</w:t>
      </w:r>
      <w:r w:rsidR="00B1463D" w:rsidRPr="00F32692">
        <w:rPr>
          <w:sz w:val="26"/>
          <w:szCs w:val="26"/>
          <w:rtl/>
        </w:rPr>
        <w:t>)</w:t>
      </w:r>
      <w:r w:rsidR="00B1463D" w:rsidRPr="00F32692">
        <w:rPr>
          <w:rFonts w:hint="cs"/>
          <w:sz w:val="26"/>
          <w:szCs w:val="26"/>
          <w:rtl/>
        </w:rPr>
        <w:t xml:space="preserve"> </w:t>
      </w:r>
      <w:r w:rsidRPr="00F32692">
        <w:rPr>
          <w:rFonts w:hint="cs"/>
          <w:sz w:val="26"/>
          <w:szCs w:val="26"/>
          <w:rtl/>
        </w:rPr>
        <w:t>לקבוע כי</w:t>
      </w:r>
      <w:r>
        <w:rPr>
          <w:rFonts w:hint="cs"/>
          <w:sz w:val="26"/>
          <w:szCs w:val="26"/>
          <w:rtl/>
        </w:rPr>
        <w:t xml:space="preserve"> ההודעה </w:t>
      </w:r>
      <w:r w:rsidR="00A45523">
        <w:rPr>
          <w:rFonts w:hint="cs"/>
          <w:sz w:val="26"/>
          <w:szCs w:val="26"/>
          <w:rtl/>
        </w:rPr>
        <w:t xml:space="preserve">על הפניה המוקדמת והמענה לה </w:t>
      </w:r>
      <w:r>
        <w:rPr>
          <w:rFonts w:hint="cs"/>
          <w:sz w:val="26"/>
          <w:szCs w:val="26"/>
          <w:rtl/>
        </w:rPr>
        <w:t xml:space="preserve">תפורסם, וזאת על </w:t>
      </w:r>
      <w:r w:rsidR="00275D1B" w:rsidRPr="00F73035">
        <w:rPr>
          <w:rFonts w:hint="cs"/>
          <w:sz w:val="26"/>
          <w:szCs w:val="26"/>
          <w:rtl/>
        </w:rPr>
        <w:t xml:space="preserve">מנת לשמור על התכליות הנוגעות לאופיו הפומבי של ההליך. </w:t>
      </w:r>
    </w:p>
    <w:p w14:paraId="4BFEC282" w14:textId="5654B93E" w:rsidR="000F5065" w:rsidRDefault="00C44D9E" w:rsidP="00774EB2">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עוד מוצע בסעיף קטן</w:t>
      </w:r>
      <w:r w:rsidR="00AB2AAA">
        <w:rPr>
          <w:rFonts w:hint="cs"/>
          <w:color w:val="000000"/>
          <w:sz w:val="26"/>
          <w:szCs w:val="26"/>
          <w:rtl/>
        </w:rPr>
        <w:t xml:space="preserve"> </w:t>
      </w:r>
      <w:r w:rsidR="00B1463D">
        <w:rPr>
          <w:rFonts w:hint="cs"/>
          <w:color w:val="000000"/>
          <w:sz w:val="26"/>
          <w:szCs w:val="26"/>
          <w:rtl/>
        </w:rPr>
        <w:t>זה</w:t>
      </w:r>
      <w:r>
        <w:rPr>
          <w:rFonts w:hint="cs"/>
          <w:color w:val="000000"/>
          <w:sz w:val="26"/>
          <w:szCs w:val="26"/>
          <w:rtl/>
        </w:rPr>
        <w:t xml:space="preserve"> כי הסכמתו של הנתבע לתקן את ההפרה במועד </w:t>
      </w:r>
      <w:r w:rsidRPr="00F32692">
        <w:rPr>
          <w:rFonts w:hint="cs"/>
          <w:color w:val="000000"/>
          <w:sz w:val="26"/>
          <w:szCs w:val="26"/>
          <w:rtl/>
        </w:rPr>
        <w:t>הקובע לא תוכל לשמש כראיה</w:t>
      </w:r>
      <w:r w:rsidR="00BC68FA" w:rsidRPr="00F32692">
        <w:rPr>
          <w:rFonts w:hint="cs"/>
          <w:color w:val="000000"/>
          <w:sz w:val="26"/>
          <w:szCs w:val="26"/>
          <w:rtl/>
        </w:rPr>
        <w:t xml:space="preserve"> להודיית הנתבע</w:t>
      </w:r>
      <w:r w:rsidRPr="00F32692">
        <w:rPr>
          <w:rFonts w:hint="cs"/>
          <w:color w:val="000000"/>
          <w:sz w:val="26"/>
          <w:szCs w:val="26"/>
          <w:rtl/>
        </w:rPr>
        <w:t xml:space="preserve"> במסגרת הליך משפטי אזרחי אחר, וזאת על מנת שלא לייצר תמריץ שלילי לנתבעים שלא להסכים לתיקון ההפרה. </w:t>
      </w:r>
    </w:p>
    <w:p w14:paraId="70D1F406" w14:textId="66586D09" w:rsidR="00F422FA" w:rsidRDefault="00F422FA" w:rsidP="004E05B0">
      <w:pPr>
        <w:tabs>
          <w:tab w:val="left" w:pos="1020"/>
        </w:tabs>
        <w:autoSpaceDE w:val="0"/>
        <w:autoSpaceDN w:val="0"/>
        <w:adjustRightInd w:val="0"/>
        <w:snapToGrid w:val="0"/>
        <w:ind w:left="0"/>
        <w:contextualSpacing w:val="0"/>
        <w:textAlignment w:val="center"/>
        <w:rPr>
          <w:color w:val="000000"/>
          <w:sz w:val="26"/>
          <w:szCs w:val="26"/>
          <w:rtl/>
        </w:rPr>
      </w:pPr>
      <w:r w:rsidRPr="00F32692">
        <w:rPr>
          <w:rFonts w:hint="cs"/>
          <w:color w:val="000000"/>
          <w:sz w:val="26"/>
          <w:szCs w:val="26"/>
          <w:rtl/>
        </w:rPr>
        <w:t xml:space="preserve">בנוסף, </w:t>
      </w:r>
      <w:r w:rsidRPr="00F32692">
        <w:rPr>
          <w:rFonts w:hint="cs"/>
          <w:sz w:val="26"/>
          <w:szCs w:val="26"/>
          <w:rtl/>
        </w:rPr>
        <w:t>מוצע</w:t>
      </w:r>
      <w:r w:rsidR="00AB2AAA" w:rsidRPr="00F32692">
        <w:rPr>
          <w:rFonts w:hint="cs"/>
          <w:sz w:val="26"/>
          <w:szCs w:val="26"/>
          <w:rtl/>
        </w:rPr>
        <w:t xml:space="preserve"> </w:t>
      </w:r>
      <w:r w:rsidRPr="00F32692">
        <w:rPr>
          <w:rFonts w:hint="cs"/>
          <w:sz w:val="26"/>
          <w:szCs w:val="26"/>
          <w:rtl/>
        </w:rPr>
        <w:t>בסעיף 24 לחוק שעניינו במעשה בית דין</w:t>
      </w:r>
      <w:r w:rsidR="004E05B0" w:rsidRPr="00F32692">
        <w:rPr>
          <w:rFonts w:hint="cs"/>
          <w:sz w:val="26"/>
          <w:szCs w:val="26"/>
          <w:rtl/>
        </w:rPr>
        <w:t>, בסעיף 19 המוצע ל</w:t>
      </w:r>
      <w:r w:rsidR="00364997" w:rsidRPr="00F32692">
        <w:rPr>
          <w:rFonts w:hint="cs"/>
          <w:sz w:val="26"/>
          <w:szCs w:val="26"/>
          <w:rtl/>
        </w:rPr>
        <w:t>תזכיר</w:t>
      </w:r>
      <w:r w:rsidR="004E05B0" w:rsidRPr="00F32692">
        <w:rPr>
          <w:rFonts w:hint="cs"/>
          <w:sz w:val="26"/>
          <w:szCs w:val="26"/>
          <w:rtl/>
        </w:rPr>
        <w:t xml:space="preserve"> זה, להוסיף </w:t>
      </w:r>
      <w:r w:rsidRPr="00F32692">
        <w:rPr>
          <w:rFonts w:hint="cs"/>
          <w:sz w:val="26"/>
          <w:szCs w:val="26"/>
          <w:rtl/>
        </w:rPr>
        <w:t xml:space="preserve">הוראה לפיה פסק דין בתובענה ייצוגית שהסעד המבוקש בה </w:t>
      </w:r>
      <w:r w:rsidRPr="00F32692">
        <w:rPr>
          <w:rFonts w:hint="eastAsia"/>
          <w:sz w:val="26"/>
          <w:szCs w:val="26"/>
          <w:rtl/>
        </w:rPr>
        <w:t>הוא</w:t>
      </w:r>
      <w:r w:rsidRPr="00F32692">
        <w:rPr>
          <w:sz w:val="26"/>
          <w:szCs w:val="26"/>
          <w:rtl/>
        </w:rPr>
        <w:t xml:space="preserve"> </w:t>
      </w:r>
      <w:r w:rsidRPr="00F32692">
        <w:rPr>
          <w:rFonts w:hint="eastAsia"/>
          <w:sz w:val="26"/>
          <w:szCs w:val="26"/>
          <w:rtl/>
        </w:rPr>
        <w:t>צו</w:t>
      </w:r>
      <w:r w:rsidRPr="00F32692">
        <w:rPr>
          <w:sz w:val="26"/>
          <w:szCs w:val="26"/>
          <w:rtl/>
        </w:rPr>
        <w:t xml:space="preserve"> </w:t>
      </w:r>
      <w:r w:rsidRPr="00F32692">
        <w:rPr>
          <w:rFonts w:hint="eastAsia"/>
          <w:sz w:val="26"/>
          <w:szCs w:val="26"/>
          <w:rtl/>
        </w:rPr>
        <w:t>עשה</w:t>
      </w:r>
      <w:r w:rsidRPr="00F32692">
        <w:rPr>
          <w:sz w:val="26"/>
          <w:szCs w:val="26"/>
          <w:rtl/>
        </w:rPr>
        <w:t xml:space="preserve">, </w:t>
      </w:r>
      <w:r w:rsidRPr="00F32692">
        <w:rPr>
          <w:rFonts w:hint="eastAsia"/>
          <w:sz w:val="26"/>
          <w:szCs w:val="26"/>
          <w:rtl/>
        </w:rPr>
        <w:t>צו</w:t>
      </w:r>
      <w:r w:rsidRPr="00F32692">
        <w:rPr>
          <w:sz w:val="26"/>
          <w:szCs w:val="26"/>
          <w:rtl/>
        </w:rPr>
        <w:t xml:space="preserve"> </w:t>
      </w:r>
      <w:r w:rsidRPr="00F32692">
        <w:rPr>
          <w:rFonts w:hint="eastAsia"/>
          <w:sz w:val="26"/>
          <w:szCs w:val="26"/>
          <w:rtl/>
        </w:rPr>
        <w:t>מניעה</w:t>
      </w:r>
      <w:r w:rsidRPr="00F32692">
        <w:rPr>
          <w:sz w:val="26"/>
          <w:szCs w:val="26"/>
          <w:rtl/>
        </w:rPr>
        <w:t xml:space="preserve"> </w:t>
      </w:r>
      <w:r w:rsidRPr="00F32692">
        <w:rPr>
          <w:rFonts w:hint="eastAsia"/>
          <w:sz w:val="26"/>
          <w:szCs w:val="26"/>
          <w:rtl/>
        </w:rPr>
        <w:t>או</w:t>
      </w:r>
      <w:r w:rsidRPr="00F32692">
        <w:rPr>
          <w:sz w:val="26"/>
          <w:szCs w:val="26"/>
          <w:rtl/>
        </w:rPr>
        <w:t xml:space="preserve"> </w:t>
      </w:r>
      <w:r w:rsidRPr="00F32692">
        <w:rPr>
          <w:rFonts w:hint="eastAsia"/>
          <w:sz w:val="26"/>
          <w:szCs w:val="26"/>
          <w:rtl/>
        </w:rPr>
        <w:t>סעד</w:t>
      </w:r>
      <w:r w:rsidRPr="00F32692">
        <w:rPr>
          <w:sz w:val="26"/>
          <w:szCs w:val="26"/>
          <w:rtl/>
        </w:rPr>
        <w:t xml:space="preserve"> </w:t>
      </w:r>
      <w:r w:rsidRPr="00F32692">
        <w:rPr>
          <w:rFonts w:hint="eastAsia"/>
          <w:sz w:val="26"/>
          <w:szCs w:val="26"/>
          <w:rtl/>
        </w:rPr>
        <w:t>הצהרתי</w:t>
      </w:r>
      <w:r w:rsidRPr="00F32692">
        <w:rPr>
          <w:rFonts w:hint="cs"/>
          <w:sz w:val="26"/>
          <w:szCs w:val="26"/>
          <w:rtl/>
        </w:rPr>
        <w:t>, לא יהווה מעשה בית דין לגבי תביעה לסעד כספי באותה עילה.</w:t>
      </w:r>
      <w:r>
        <w:rPr>
          <w:rFonts w:hint="cs"/>
          <w:sz w:val="26"/>
          <w:szCs w:val="26"/>
          <w:rtl/>
        </w:rPr>
        <w:t xml:space="preserve"> </w:t>
      </w:r>
    </w:p>
    <w:p w14:paraId="350BE3C2" w14:textId="7C336D76" w:rsidR="00C44D9E" w:rsidRDefault="00275D1B" w:rsidP="00B1463D">
      <w:pPr>
        <w:tabs>
          <w:tab w:val="left" w:pos="1020"/>
        </w:tabs>
        <w:autoSpaceDE w:val="0"/>
        <w:autoSpaceDN w:val="0"/>
        <w:adjustRightInd w:val="0"/>
        <w:snapToGrid w:val="0"/>
        <w:ind w:left="0"/>
        <w:contextualSpacing w:val="0"/>
        <w:textAlignment w:val="center"/>
        <w:rPr>
          <w:color w:val="000000"/>
          <w:sz w:val="26"/>
          <w:szCs w:val="26"/>
          <w:rtl/>
        </w:rPr>
      </w:pPr>
      <w:r w:rsidRPr="00F32692">
        <w:rPr>
          <w:rFonts w:hint="eastAsia"/>
          <w:color w:val="000000"/>
          <w:sz w:val="26"/>
          <w:szCs w:val="26"/>
          <w:rtl/>
        </w:rPr>
        <w:t>עוד</w:t>
      </w:r>
      <w:r w:rsidRPr="00F32692">
        <w:rPr>
          <w:color w:val="000000"/>
          <w:sz w:val="26"/>
          <w:szCs w:val="26"/>
          <w:rtl/>
        </w:rPr>
        <w:t xml:space="preserve"> </w:t>
      </w:r>
      <w:r w:rsidRPr="00F32692">
        <w:rPr>
          <w:rFonts w:hint="eastAsia"/>
          <w:color w:val="000000"/>
          <w:sz w:val="26"/>
          <w:szCs w:val="26"/>
          <w:rtl/>
        </w:rPr>
        <w:t>מוצע</w:t>
      </w:r>
      <w:r w:rsidRPr="00F32692">
        <w:rPr>
          <w:color w:val="000000"/>
          <w:sz w:val="26"/>
          <w:szCs w:val="26"/>
          <w:rtl/>
        </w:rPr>
        <w:t xml:space="preserve"> </w:t>
      </w:r>
      <w:r w:rsidRPr="00F32692">
        <w:rPr>
          <w:rFonts w:hint="eastAsia"/>
          <w:color w:val="000000"/>
          <w:sz w:val="26"/>
          <w:szCs w:val="26"/>
          <w:rtl/>
        </w:rPr>
        <w:t>לקבוע</w:t>
      </w:r>
      <w:r w:rsidRPr="00F32692">
        <w:rPr>
          <w:color w:val="000000"/>
          <w:sz w:val="26"/>
          <w:szCs w:val="26"/>
          <w:rtl/>
        </w:rPr>
        <w:t xml:space="preserve"> </w:t>
      </w:r>
      <w:r w:rsidRPr="00F32692">
        <w:rPr>
          <w:rFonts w:hint="eastAsia"/>
          <w:color w:val="000000"/>
          <w:sz w:val="26"/>
          <w:szCs w:val="26"/>
          <w:rtl/>
        </w:rPr>
        <w:t>בסעיף</w:t>
      </w:r>
      <w:r w:rsidRPr="00F32692">
        <w:rPr>
          <w:color w:val="000000"/>
          <w:sz w:val="26"/>
          <w:szCs w:val="26"/>
          <w:rtl/>
        </w:rPr>
        <w:t xml:space="preserve"> </w:t>
      </w:r>
      <w:r w:rsidRPr="00F32692">
        <w:rPr>
          <w:rFonts w:hint="eastAsia"/>
          <w:color w:val="000000"/>
          <w:sz w:val="26"/>
          <w:szCs w:val="26"/>
          <w:rtl/>
        </w:rPr>
        <w:t>קטן</w:t>
      </w:r>
      <w:r w:rsidRPr="00F32692">
        <w:rPr>
          <w:color w:val="000000"/>
          <w:sz w:val="26"/>
          <w:szCs w:val="26"/>
          <w:rtl/>
        </w:rPr>
        <w:t xml:space="preserve"> (</w:t>
      </w:r>
      <w:r w:rsidR="00F32692" w:rsidRPr="00F32692">
        <w:rPr>
          <w:rFonts w:hint="cs"/>
          <w:color w:val="000000"/>
          <w:sz w:val="26"/>
          <w:szCs w:val="26"/>
          <w:rtl/>
        </w:rPr>
        <w:t>ה</w:t>
      </w:r>
      <w:r w:rsidRPr="00F32692">
        <w:rPr>
          <w:color w:val="000000"/>
          <w:sz w:val="26"/>
          <w:szCs w:val="26"/>
          <w:rtl/>
        </w:rPr>
        <w:t>)</w:t>
      </w:r>
      <w:r w:rsidRPr="00F32692">
        <w:rPr>
          <w:rFonts w:hint="cs"/>
          <w:color w:val="000000"/>
          <w:sz w:val="26"/>
          <w:szCs w:val="26"/>
          <w:rtl/>
        </w:rPr>
        <w:t xml:space="preserve"> כי</w:t>
      </w:r>
      <w:r w:rsidR="00B1463D" w:rsidRPr="00F32692">
        <w:rPr>
          <w:rFonts w:hint="cs"/>
          <w:color w:val="000000"/>
          <w:sz w:val="26"/>
          <w:szCs w:val="26"/>
          <w:rtl/>
        </w:rPr>
        <w:t xml:space="preserve"> חובת הפניה המוקדמת לגבי אותו ענין, תיערך ביחס לפונה הראשון בלבד. כלומר, </w:t>
      </w:r>
      <w:r w:rsidRPr="00F32692">
        <w:rPr>
          <w:rFonts w:hint="cs"/>
          <w:color w:val="000000"/>
          <w:sz w:val="26"/>
          <w:szCs w:val="26"/>
          <w:rtl/>
        </w:rPr>
        <w:t>אם הוגשה פניה ועל אף</w:t>
      </w:r>
      <w:r w:rsidRPr="00275D1B">
        <w:rPr>
          <w:rFonts w:hint="cs"/>
          <w:color w:val="000000"/>
          <w:sz w:val="26"/>
          <w:szCs w:val="26"/>
          <w:rtl/>
        </w:rPr>
        <w:t xml:space="preserve"> שהנתבע הסכי</w:t>
      </w:r>
      <w:r w:rsidR="00F73035">
        <w:rPr>
          <w:rFonts w:hint="cs"/>
          <w:color w:val="000000"/>
          <w:sz w:val="26"/>
          <w:szCs w:val="26"/>
          <w:rtl/>
        </w:rPr>
        <w:t>ם</w:t>
      </w:r>
      <w:r w:rsidRPr="00275D1B">
        <w:rPr>
          <w:rFonts w:hint="cs"/>
          <w:color w:val="000000"/>
          <w:sz w:val="26"/>
          <w:szCs w:val="26"/>
          <w:rtl/>
        </w:rPr>
        <w:t xml:space="preserve"> לתקן את התנהלות</w:t>
      </w:r>
      <w:r w:rsidR="00F73035">
        <w:rPr>
          <w:rFonts w:hint="cs"/>
          <w:color w:val="000000"/>
          <w:sz w:val="26"/>
          <w:szCs w:val="26"/>
          <w:rtl/>
        </w:rPr>
        <w:t>ו</w:t>
      </w:r>
      <w:r w:rsidRPr="00275D1B">
        <w:rPr>
          <w:rFonts w:hint="cs"/>
          <w:color w:val="000000"/>
          <w:sz w:val="26"/>
          <w:szCs w:val="26"/>
          <w:rtl/>
        </w:rPr>
        <w:t xml:space="preserve"> </w:t>
      </w:r>
      <w:r w:rsidR="00F73035">
        <w:rPr>
          <w:rFonts w:hint="cs"/>
          <w:color w:val="000000"/>
          <w:sz w:val="26"/>
          <w:szCs w:val="26"/>
          <w:rtl/>
        </w:rPr>
        <w:t>הוא המשיך או חזר</w:t>
      </w:r>
      <w:r w:rsidRPr="00275D1B">
        <w:rPr>
          <w:rFonts w:hint="cs"/>
          <w:color w:val="000000"/>
          <w:sz w:val="26"/>
          <w:szCs w:val="26"/>
          <w:rtl/>
        </w:rPr>
        <w:t xml:space="preserve"> להפר את הדין</w:t>
      </w:r>
      <w:r w:rsidR="00B1463D">
        <w:rPr>
          <w:rFonts w:hint="cs"/>
          <w:color w:val="000000"/>
          <w:sz w:val="26"/>
          <w:szCs w:val="26"/>
          <w:rtl/>
        </w:rPr>
        <w:t xml:space="preserve"> או למשל במקרה שבו הנתבע דחה את הפניה המוקדמת מכל סיבה, ניתן יהיה להגיש בקשה לאישור </w:t>
      </w:r>
      <w:r w:rsidRPr="00275D1B">
        <w:rPr>
          <w:rFonts w:hint="cs"/>
          <w:color w:val="000000"/>
          <w:sz w:val="26"/>
          <w:szCs w:val="26"/>
          <w:rtl/>
        </w:rPr>
        <w:t>תובענה ייצוגית וזאת ללא צורך בעריכת פניה נוספת, על מנת שלא לאפשר לנתבע</w:t>
      </w:r>
      <w:r w:rsidR="00F73035">
        <w:rPr>
          <w:rFonts w:hint="cs"/>
          <w:color w:val="000000"/>
          <w:sz w:val="26"/>
          <w:szCs w:val="26"/>
          <w:rtl/>
        </w:rPr>
        <w:t>ים</w:t>
      </w:r>
      <w:r w:rsidRPr="00275D1B">
        <w:rPr>
          <w:rFonts w:hint="cs"/>
          <w:color w:val="000000"/>
          <w:sz w:val="26"/>
          <w:szCs w:val="26"/>
          <w:rtl/>
        </w:rPr>
        <w:t xml:space="preserve"> להמשיך בהפרת הדין מתוך ידיעה שלא תוגש נגד</w:t>
      </w:r>
      <w:r w:rsidR="00F73035">
        <w:rPr>
          <w:rFonts w:hint="cs"/>
          <w:color w:val="000000"/>
          <w:sz w:val="26"/>
          <w:szCs w:val="26"/>
          <w:rtl/>
        </w:rPr>
        <w:t>ם</w:t>
      </w:r>
      <w:r w:rsidRPr="00275D1B">
        <w:rPr>
          <w:rFonts w:hint="cs"/>
          <w:color w:val="000000"/>
          <w:sz w:val="26"/>
          <w:szCs w:val="26"/>
          <w:rtl/>
        </w:rPr>
        <w:t xml:space="preserve"> תובענה ייצוגית. </w:t>
      </w:r>
      <w:r w:rsidR="00B1463D">
        <w:rPr>
          <w:rFonts w:hint="cs"/>
          <w:color w:val="000000"/>
          <w:sz w:val="26"/>
          <w:szCs w:val="26"/>
          <w:rtl/>
        </w:rPr>
        <w:t>יודגש כי הבקשה לאישור תובענה ייצוגית, תוכל להיות מוגשת גם על ידי כל מבקש ייצוגי ולאו דווקא על ידי מי שערך את הפניה המוקדמת.</w:t>
      </w:r>
    </w:p>
    <w:p w14:paraId="4E1356C2" w14:textId="5B5B2862" w:rsidR="00F73035" w:rsidRDefault="00C44D9E" w:rsidP="00F73035">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המנגנון המוצע </w:t>
      </w:r>
      <w:r w:rsidR="00275D1B">
        <w:rPr>
          <w:rFonts w:hint="cs"/>
          <w:color w:val="000000"/>
          <w:sz w:val="26"/>
          <w:szCs w:val="26"/>
          <w:rtl/>
        </w:rPr>
        <w:t xml:space="preserve">המשלב קביעה של חובת פנייה מוקדמת בסוגי תביעות מסוימות אשר </w:t>
      </w:r>
      <w:r>
        <w:rPr>
          <w:rFonts w:hint="cs"/>
          <w:color w:val="000000"/>
          <w:sz w:val="26"/>
          <w:szCs w:val="26"/>
          <w:rtl/>
        </w:rPr>
        <w:t xml:space="preserve">ייקבעו בתוספת הרביעית לחוק </w:t>
      </w:r>
      <w:r w:rsidR="00F73035">
        <w:rPr>
          <w:rFonts w:hint="cs"/>
          <w:color w:val="000000"/>
          <w:sz w:val="26"/>
          <w:szCs w:val="26"/>
          <w:rtl/>
        </w:rPr>
        <w:t xml:space="preserve">וכן בתביעות שבהן המבקש הייצוגי מבקש להגיש תביעה לצו עשה, </w:t>
      </w:r>
      <w:r w:rsidR="00275D1B">
        <w:rPr>
          <w:rFonts w:hint="cs"/>
          <w:color w:val="000000"/>
          <w:sz w:val="26"/>
          <w:szCs w:val="26"/>
          <w:rtl/>
        </w:rPr>
        <w:t xml:space="preserve">יסייע בהתמודדות </w:t>
      </w:r>
      <w:r w:rsidR="00275D1B" w:rsidRPr="00F73035">
        <w:rPr>
          <w:rFonts w:hint="cs"/>
          <w:color w:val="000000"/>
          <w:sz w:val="26"/>
          <w:szCs w:val="26"/>
          <w:rtl/>
        </w:rPr>
        <w:t xml:space="preserve">עם </w:t>
      </w:r>
      <w:r w:rsidR="00275D1B" w:rsidRPr="00F73035">
        <w:rPr>
          <w:rFonts w:hint="eastAsia"/>
          <w:color w:val="000000"/>
          <w:sz w:val="26"/>
          <w:szCs w:val="26"/>
          <w:rtl/>
        </w:rPr>
        <w:t>תופעת</w:t>
      </w:r>
      <w:r w:rsidR="00275D1B" w:rsidRPr="00F73035">
        <w:rPr>
          <w:color w:val="000000"/>
          <w:sz w:val="26"/>
          <w:szCs w:val="26"/>
          <w:rtl/>
        </w:rPr>
        <w:t xml:space="preserve"> </w:t>
      </w:r>
      <w:r w:rsidR="00275D1B" w:rsidRPr="00F73035">
        <w:rPr>
          <w:rFonts w:hint="cs"/>
          <w:color w:val="000000"/>
          <w:sz w:val="26"/>
          <w:szCs w:val="26"/>
          <w:rtl/>
        </w:rPr>
        <w:t>ה</w:t>
      </w:r>
      <w:r w:rsidR="00F73035">
        <w:rPr>
          <w:rFonts w:hint="cs"/>
          <w:color w:val="000000"/>
          <w:sz w:val="26"/>
          <w:szCs w:val="26"/>
          <w:rtl/>
        </w:rPr>
        <w:t>בקשות לאישור</w:t>
      </w:r>
      <w:r w:rsidR="00275D1B" w:rsidRPr="00F73035">
        <w:rPr>
          <w:rFonts w:hint="cs"/>
          <w:color w:val="000000"/>
          <w:sz w:val="26"/>
          <w:szCs w:val="26"/>
          <w:rtl/>
        </w:rPr>
        <w:t xml:space="preserve"> המוגשות מלכתחילה על מנת להסתלק מהן בסעד הצהרתי צופה פני עתיד בלבד</w:t>
      </w:r>
      <w:r w:rsidR="00F73035">
        <w:rPr>
          <w:rFonts w:hint="cs"/>
          <w:color w:val="000000"/>
          <w:sz w:val="26"/>
          <w:szCs w:val="26"/>
          <w:rtl/>
        </w:rPr>
        <w:t xml:space="preserve">, כך שתביעות אלו יסתיימו בצורה יעילה ומהירה, מחוץ </w:t>
      </w:r>
      <w:proofErr w:type="spellStart"/>
      <w:r w:rsidR="00F73035">
        <w:rPr>
          <w:rFonts w:hint="cs"/>
          <w:color w:val="000000"/>
          <w:sz w:val="26"/>
          <w:szCs w:val="26"/>
          <w:rtl/>
        </w:rPr>
        <w:t>לכתלי</w:t>
      </w:r>
      <w:proofErr w:type="spellEnd"/>
      <w:r w:rsidR="00F73035">
        <w:rPr>
          <w:rFonts w:hint="cs"/>
          <w:color w:val="000000"/>
          <w:sz w:val="26"/>
          <w:szCs w:val="26"/>
          <w:rtl/>
        </w:rPr>
        <w:t xml:space="preserve"> בית המשפט, תוך </w:t>
      </w:r>
      <w:r w:rsidR="00F73035" w:rsidRPr="00BD6CF2">
        <w:rPr>
          <w:color w:val="000000"/>
          <w:sz w:val="26"/>
          <w:szCs w:val="26"/>
          <w:rtl/>
        </w:rPr>
        <w:t>צמצום העלויות</w:t>
      </w:r>
      <w:r w:rsidR="00F73035" w:rsidRPr="00BD6CF2">
        <w:rPr>
          <w:rFonts w:hint="cs"/>
          <w:color w:val="000000"/>
          <w:sz w:val="26"/>
          <w:szCs w:val="26"/>
          <w:rtl/>
        </w:rPr>
        <w:t>,</w:t>
      </w:r>
      <w:r w:rsidR="00F73035" w:rsidRPr="00BD6CF2">
        <w:rPr>
          <w:color w:val="000000"/>
          <w:sz w:val="26"/>
          <w:szCs w:val="26"/>
          <w:rtl/>
        </w:rPr>
        <w:t xml:space="preserve"> </w:t>
      </w:r>
      <w:r w:rsidR="00F73035" w:rsidRPr="00BD6CF2">
        <w:rPr>
          <w:rFonts w:hint="cs"/>
          <w:color w:val="000000"/>
          <w:sz w:val="26"/>
          <w:szCs w:val="26"/>
          <w:rtl/>
        </w:rPr>
        <w:t>הן ל</w:t>
      </w:r>
      <w:r w:rsidR="00F73035" w:rsidRPr="00BD6CF2">
        <w:rPr>
          <w:color w:val="000000"/>
          <w:sz w:val="26"/>
          <w:szCs w:val="26"/>
          <w:rtl/>
        </w:rPr>
        <w:t xml:space="preserve">מערכת המשפט </w:t>
      </w:r>
      <w:r w:rsidR="00F73035" w:rsidRPr="00BD6CF2">
        <w:rPr>
          <w:rFonts w:hint="cs"/>
          <w:color w:val="000000"/>
          <w:sz w:val="26"/>
          <w:szCs w:val="26"/>
          <w:rtl/>
        </w:rPr>
        <w:t xml:space="preserve">והן לצדדים והכל תוך אפשרות </w:t>
      </w:r>
      <w:r w:rsidR="00F73035" w:rsidRPr="00BD6CF2">
        <w:rPr>
          <w:color w:val="000000"/>
          <w:sz w:val="26"/>
          <w:szCs w:val="26"/>
          <w:rtl/>
        </w:rPr>
        <w:t>לתיקון העוולה במהירות ויעילות</w:t>
      </w:r>
      <w:r w:rsidR="00F73035" w:rsidRPr="00BD6CF2">
        <w:rPr>
          <w:rFonts w:hint="cs"/>
          <w:color w:val="000000"/>
          <w:sz w:val="26"/>
          <w:szCs w:val="26"/>
          <w:rtl/>
        </w:rPr>
        <w:t>,</w:t>
      </w:r>
      <w:r w:rsidR="00F73035" w:rsidRPr="00BD6CF2">
        <w:rPr>
          <w:color w:val="000000"/>
          <w:sz w:val="26"/>
          <w:szCs w:val="26"/>
          <w:rtl/>
        </w:rPr>
        <w:t xml:space="preserve"> כשזוהי המטרה העיקרית של הליכים אלו</w:t>
      </w:r>
      <w:r w:rsidR="00F73035">
        <w:rPr>
          <w:rFonts w:hint="cs"/>
          <w:color w:val="000000"/>
          <w:sz w:val="26"/>
          <w:szCs w:val="26"/>
          <w:rtl/>
        </w:rPr>
        <w:t xml:space="preserve"> כאמור.</w:t>
      </w:r>
    </w:p>
    <w:p w14:paraId="4F917F32" w14:textId="0131031D" w:rsidR="00275D1B" w:rsidRPr="00F32692" w:rsidRDefault="00275D1B" w:rsidP="00275D1B">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מוצע לקבוע </w:t>
      </w:r>
      <w:r w:rsidR="00376AB8">
        <w:rPr>
          <w:rFonts w:hint="cs"/>
          <w:color w:val="000000"/>
          <w:sz w:val="26"/>
          <w:szCs w:val="26"/>
          <w:rtl/>
        </w:rPr>
        <w:t xml:space="preserve">חובת התקנת תקנות </w:t>
      </w:r>
      <w:r w:rsidR="00376AB8" w:rsidRPr="00F32692">
        <w:rPr>
          <w:rFonts w:hint="cs"/>
          <w:color w:val="000000"/>
          <w:sz w:val="26"/>
          <w:szCs w:val="26"/>
          <w:rtl/>
        </w:rPr>
        <w:t>בעניין מנגנון הפניה המוקדמת</w:t>
      </w:r>
      <w:r w:rsidR="004D13F0" w:rsidRPr="00F32692">
        <w:rPr>
          <w:rFonts w:hint="cs"/>
          <w:color w:val="000000"/>
          <w:sz w:val="26"/>
          <w:szCs w:val="26"/>
          <w:rtl/>
        </w:rPr>
        <w:t xml:space="preserve"> וסעיפים אלו יכנסו לתוקף למעשה רק לאחר התקנת התקנות</w:t>
      </w:r>
      <w:r w:rsidR="00376AB8" w:rsidRPr="00F32692">
        <w:rPr>
          <w:rFonts w:hint="cs"/>
          <w:color w:val="000000"/>
          <w:sz w:val="26"/>
          <w:szCs w:val="26"/>
          <w:rtl/>
        </w:rPr>
        <w:t xml:space="preserve">. לכן, בסעיף קטן </w:t>
      </w:r>
      <w:r w:rsidR="00376AB8" w:rsidRPr="00F32692">
        <w:rPr>
          <w:color w:val="000000"/>
          <w:sz w:val="26"/>
          <w:szCs w:val="26"/>
          <w:rtl/>
        </w:rPr>
        <w:t>(</w:t>
      </w:r>
      <w:r w:rsidR="00F32692" w:rsidRPr="00F32692">
        <w:rPr>
          <w:rFonts w:hint="cs"/>
          <w:color w:val="000000"/>
          <w:sz w:val="26"/>
          <w:szCs w:val="26"/>
          <w:rtl/>
        </w:rPr>
        <w:t>ז</w:t>
      </w:r>
      <w:r w:rsidR="00376AB8" w:rsidRPr="00F32692">
        <w:rPr>
          <w:color w:val="000000"/>
          <w:sz w:val="26"/>
          <w:szCs w:val="26"/>
          <w:rtl/>
        </w:rPr>
        <w:t>)</w:t>
      </w:r>
      <w:r w:rsidR="00376AB8" w:rsidRPr="00F32692">
        <w:rPr>
          <w:rFonts w:hint="cs"/>
          <w:color w:val="000000"/>
          <w:sz w:val="26"/>
          <w:szCs w:val="26"/>
          <w:rtl/>
        </w:rPr>
        <w:t xml:space="preserve"> מוצע לקבוע</w:t>
      </w:r>
      <w:r w:rsidR="00376AB8">
        <w:rPr>
          <w:rFonts w:hint="cs"/>
          <w:color w:val="000000"/>
          <w:sz w:val="26"/>
          <w:szCs w:val="26"/>
          <w:rtl/>
        </w:rPr>
        <w:t xml:space="preserve"> </w:t>
      </w:r>
      <w:r>
        <w:rPr>
          <w:rFonts w:hint="cs"/>
          <w:color w:val="000000"/>
          <w:sz w:val="26"/>
          <w:szCs w:val="26"/>
          <w:rtl/>
        </w:rPr>
        <w:t>כי השר יקבע הוראות לביצוע הסעיף</w:t>
      </w:r>
      <w:r w:rsidR="00376AB8">
        <w:rPr>
          <w:rFonts w:hint="cs"/>
          <w:color w:val="000000"/>
          <w:sz w:val="26"/>
          <w:szCs w:val="26"/>
          <w:rtl/>
        </w:rPr>
        <w:t>.</w:t>
      </w:r>
      <w:r w:rsidR="000D6B9A">
        <w:rPr>
          <w:rFonts w:hint="cs"/>
          <w:color w:val="000000"/>
          <w:sz w:val="26"/>
          <w:szCs w:val="26"/>
          <w:rtl/>
        </w:rPr>
        <w:t xml:space="preserve"> </w:t>
      </w:r>
      <w:r>
        <w:rPr>
          <w:rFonts w:hint="cs"/>
          <w:color w:val="000000"/>
          <w:sz w:val="26"/>
          <w:szCs w:val="26"/>
          <w:rtl/>
        </w:rPr>
        <w:t xml:space="preserve">בהקשר זה יצוין כי </w:t>
      </w:r>
      <w:r w:rsidRPr="00024D74">
        <w:rPr>
          <w:rFonts w:hint="cs"/>
          <w:color w:val="000000"/>
          <w:sz w:val="26"/>
          <w:szCs w:val="26"/>
          <w:rtl/>
        </w:rPr>
        <w:t>לצורך הליך הפניה המוקדמת</w:t>
      </w:r>
      <w:r w:rsidRPr="00024D74">
        <w:rPr>
          <w:color w:val="000000"/>
          <w:sz w:val="26"/>
          <w:szCs w:val="26"/>
          <w:rtl/>
        </w:rPr>
        <w:t xml:space="preserve"> נ</w:t>
      </w:r>
      <w:r w:rsidRPr="00024D74">
        <w:rPr>
          <w:rFonts w:hint="cs"/>
          <w:color w:val="000000"/>
          <w:sz w:val="26"/>
          <w:szCs w:val="26"/>
          <w:rtl/>
        </w:rPr>
        <w:t>בחנת האפשרות להקים מערכת דיגיטלית לטיפול בפניות</w:t>
      </w:r>
      <w:r w:rsidR="004D13F0">
        <w:rPr>
          <w:rFonts w:hint="cs"/>
          <w:color w:val="000000"/>
          <w:sz w:val="26"/>
          <w:szCs w:val="26"/>
          <w:rtl/>
        </w:rPr>
        <w:t xml:space="preserve"> ופרסומן</w:t>
      </w:r>
      <w:r>
        <w:rPr>
          <w:rFonts w:hint="cs"/>
          <w:color w:val="000000"/>
          <w:sz w:val="26"/>
          <w:szCs w:val="26"/>
          <w:rtl/>
        </w:rPr>
        <w:t>.</w:t>
      </w:r>
      <w:r w:rsidR="00E8302E" w:rsidRPr="00E8302E">
        <w:rPr>
          <w:rFonts w:hint="cs"/>
          <w:color w:val="000000"/>
          <w:sz w:val="26"/>
          <w:szCs w:val="26"/>
          <w:rtl/>
        </w:rPr>
        <w:t xml:space="preserve"> </w:t>
      </w:r>
      <w:r w:rsidR="00E8302E">
        <w:rPr>
          <w:rFonts w:hint="cs"/>
          <w:color w:val="000000"/>
          <w:sz w:val="26"/>
          <w:szCs w:val="26"/>
          <w:rtl/>
        </w:rPr>
        <w:t xml:space="preserve">עוד נשקלת האפשרות לחייב בתקנות את פרסום הפניה המוקדמת גם באתר המרשתת של הנתבע שבמקרים רבים, לפרסום בו יש </w:t>
      </w:r>
      <w:r w:rsidR="00E8302E" w:rsidRPr="00F32692">
        <w:rPr>
          <w:rFonts w:hint="cs"/>
          <w:color w:val="000000"/>
          <w:sz w:val="26"/>
          <w:szCs w:val="26"/>
          <w:rtl/>
        </w:rPr>
        <w:t>אפקטיביות כלפי חברי הקבוצה.</w:t>
      </w:r>
    </w:p>
    <w:p w14:paraId="0CD62115" w14:textId="322F6784" w:rsidR="00E8302E" w:rsidRPr="00E10775" w:rsidRDefault="00F73035" w:rsidP="00E8302E">
      <w:pPr>
        <w:tabs>
          <w:tab w:val="left" w:pos="1020"/>
        </w:tabs>
        <w:autoSpaceDE w:val="0"/>
        <w:autoSpaceDN w:val="0"/>
        <w:adjustRightInd w:val="0"/>
        <w:snapToGrid w:val="0"/>
        <w:ind w:left="0"/>
        <w:contextualSpacing w:val="0"/>
        <w:textAlignment w:val="center"/>
        <w:rPr>
          <w:b/>
          <w:bCs/>
          <w:color w:val="000000"/>
          <w:sz w:val="26"/>
          <w:szCs w:val="26"/>
          <w:rtl/>
        </w:rPr>
      </w:pPr>
      <w:r w:rsidRPr="00F32692">
        <w:rPr>
          <w:rFonts w:hint="cs"/>
          <w:color w:val="000000"/>
          <w:sz w:val="26"/>
          <w:szCs w:val="26"/>
          <w:rtl/>
        </w:rPr>
        <w:t>עוד מוצע לקבוע בסעיף 30</w:t>
      </w:r>
      <w:r w:rsidR="00F213B9" w:rsidRPr="00F32692">
        <w:rPr>
          <w:rFonts w:hint="cs"/>
          <w:color w:val="000000"/>
          <w:sz w:val="26"/>
          <w:szCs w:val="26"/>
          <w:rtl/>
        </w:rPr>
        <w:t>א</w:t>
      </w:r>
      <w:r w:rsidRPr="00F32692">
        <w:rPr>
          <w:rFonts w:hint="cs"/>
          <w:color w:val="000000"/>
          <w:sz w:val="26"/>
          <w:szCs w:val="26"/>
          <w:rtl/>
        </w:rPr>
        <w:t xml:space="preserve"> לחוק</w:t>
      </w:r>
      <w:r w:rsidR="00454C8D" w:rsidRPr="00F32692">
        <w:rPr>
          <w:rFonts w:hint="cs"/>
          <w:color w:val="000000"/>
          <w:sz w:val="26"/>
          <w:szCs w:val="26"/>
          <w:rtl/>
        </w:rPr>
        <w:t xml:space="preserve">, בסעיף </w:t>
      </w:r>
      <w:r w:rsidR="00F32692" w:rsidRPr="00F32692">
        <w:rPr>
          <w:rFonts w:hint="cs"/>
          <w:color w:val="000000"/>
          <w:sz w:val="26"/>
          <w:szCs w:val="26"/>
          <w:rtl/>
        </w:rPr>
        <w:t>23</w:t>
      </w:r>
      <w:r w:rsidR="00364997" w:rsidRPr="00F32692">
        <w:rPr>
          <w:rFonts w:hint="cs"/>
          <w:color w:val="000000"/>
          <w:sz w:val="26"/>
          <w:szCs w:val="26"/>
          <w:rtl/>
        </w:rPr>
        <w:t xml:space="preserve"> </w:t>
      </w:r>
      <w:r w:rsidR="00454C8D" w:rsidRPr="00F32692">
        <w:rPr>
          <w:rFonts w:hint="cs"/>
          <w:color w:val="000000"/>
          <w:sz w:val="26"/>
          <w:szCs w:val="26"/>
          <w:rtl/>
        </w:rPr>
        <w:t xml:space="preserve">המוצע </w:t>
      </w:r>
      <w:r w:rsidR="00364997" w:rsidRPr="00F32692">
        <w:rPr>
          <w:rFonts w:hint="cs"/>
          <w:color w:val="000000"/>
          <w:sz w:val="26"/>
          <w:szCs w:val="26"/>
          <w:rtl/>
        </w:rPr>
        <w:t xml:space="preserve">לתזכיר </w:t>
      </w:r>
      <w:r w:rsidR="00454C8D" w:rsidRPr="00F32692">
        <w:rPr>
          <w:rFonts w:hint="cs"/>
          <w:color w:val="000000"/>
          <w:sz w:val="26"/>
          <w:szCs w:val="26"/>
          <w:rtl/>
        </w:rPr>
        <w:t>זה,</w:t>
      </w:r>
      <w:r w:rsidRPr="00F32692">
        <w:rPr>
          <w:rFonts w:hint="cs"/>
          <w:color w:val="000000"/>
          <w:sz w:val="26"/>
          <w:szCs w:val="26"/>
          <w:rtl/>
        </w:rPr>
        <w:t xml:space="preserve"> כי</w:t>
      </w:r>
      <w:r>
        <w:rPr>
          <w:rFonts w:hint="cs"/>
          <w:color w:val="000000"/>
          <w:sz w:val="26"/>
          <w:szCs w:val="26"/>
          <w:rtl/>
        </w:rPr>
        <w:t xml:space="preserve"> השר יהיה רשאי בצו לשנות את התוספת הרביעית</w:t>
      </w:r>
      <w:r w:rsidR="00F213B9">
        <w:rPr>
          <w:rFonts w:hint="cs"/>
          <w:color w:val="000000"/>
          <w:sz w:val="26"/>
          <w:szCs w:val="26"/>
          <w:rtl/>
        </w:rPr>
        <w:t xml:space="preserve"> וזאת על מנת לאפשר גמישות בשינוי התוספת הרביעית </w:t>
      </w:r>
      <w:r w:rsidR="004D13F0">
        <w:rPr>
          <w:rFonts w:hint="cs"/>
          <w:color w:val="000000"/>
          <w:sz w:val="26"/>
          <w:szCs w:val="26"/>
          <w:rtl/>
        </w:rPr>
        <w:t xml:space="preserve">לצורך התאמה לשינויי הרגולציה </w:t>
      </w:r>
      <w:r w:rsidR="00F213B9">
        <w:rPr>
          <w:rFonts w:hint="cs"/>
          <w:color w:val="000000"/>
          <w:sz w:val="26"/>
          <w:szCs w:val="26"/>
          <w:rtl/>
        </w:rPr>
        <w:t>ו</w:t>
      </w:r>
      <w:r w:rsidR="004D13F0">
        <w:rPr>
          <w:rFonts w:hint="cs"/>
          <w:color w:val="000000"/>
          <w:sz w:val="26"/>
          <w:szCs w:val="26"/>
          <w:rtl/>
        </w:rPr>
        <w:t>בשל ה</w:t>
      </w:r>
      <w:r w:rsidR="00F213B9">
        <w:rPr>
          <w:rFonts w:hint="cs"/>
          <w:color w:val="000000"/>
          <w:sz w:val="26"/>
          <w:szCs w:val="26"/>
          <w:rtl/>
        </w:rPr>
        <w:t xml:space="preserve">חשש כי תובעים ייצוגיים יגישו תובענות ייצוגיות בעילות העונות על הקריטריונים שהוצגו לעיל, אך </w:t>
      </w:r>
      <w:r w:rsidR="00733F98">
        <w:rPr>
          <w:rFonts w:hint="cs"/>
          <w:color w:val="000000"/>
          <w:sz w:val="26"/>
          <w:szCs w:val="26"/>
          <w:rtl/>
        </w:rPr>
        <w:t xml:space="preserve">טרם נכללו </w:t>
      </w:r>
      <w:r w:rsidR="00F213B9">
        <w:rPr>
          <w:rFonts w:hint="cs"/>
          <w:color w:val="000000"/>
          <w:sz w:val="26"/>
          <w:szCs w:val="26"/>
          <w:rtl/>
        </w:rPr>
        <w:t>בתוספת</w:t>
      </w:r>
      <w:r w:rsidR="00733F98">
        <w:rPr>
          <w:rFonts w:hint="cs"/>
          <w:color w:val="000000"/>
          <w:sz w:val="26"/>
          <w:szCs w:val="26"/>
          <w:rtl/>
        </w:rPr>
        <w:t xml:space="preserve"> בעת הגשת התביעה</w:t>
      </w:r>
      <w:r w:rsidR="00E8302E">
        <w:rPr>
          <w:rFonts w:hint="cs"/>
          <w:color w:val="000000"/>
          <w:sz w:val="26"/>
          <w:szCs w:val="26"/>
          <w:rtl/>
        </w:rPr>
        <w:t>, או לחילופין ככל שיתברר לאור התפתחויות שיתעוררו, שעולה חשיבות ציבורית במתן אפשרות להגשת תובענה ייצוגית לפיצויים באילו מפרטי התוספת המוצעת ויידרש למחוק פרט כלשהו מהתוספת</w:t>
      </w:r>
      <w:r w:rsidR="00E8302E" w:rsidRPr="00E10775">
        <w:rPr>
          <w:rFonts w:hint="cs"/>
          <w:color w:val="000000"/>
          <w:sz w:val="26"/>
          <w:szCs w:val="26"/>
          <w:rtl/>
        </w:rPr>
        <w:t xml:space="preserve">. </w:t>
      </w:r>
    </w:p>
    <w:p w14:paraId="1370B548" w14:textId="0DBFC8C5" w:rsidR="006F54CA" w:rsidRDefault="00F213B9" w:rsidP="0014544C">
      <w:pPr>
        <w:tabs>
          <w:tab w:val="left" w:pos="1020"/>
        </w:tabs>
        <w:autoSpaceDE w:val="0"/>
        <w:autoSpaceDN w:val="0"/>
        <w:adjustRightInd w:val="0"/>
        <w:snapToGrid w:val="0"/>
        <w:ind w:left="0"/>
        <w:contextualSpacing w:val="0"/>
        <w:textAlignment w:val="center"/>
        <w:rPr>
          <w:b/>
          <w:bCs/>
          <w:color w:val="000000"/>
          <w:sz w:val="26"/>
          <w:szCs w:val="26"/>
          <w:rtl/>
        </w:rPr>
      </w:pPr>
      <w:r>
        <w:rPr>
          <w:rFonts w:hint="cs"/>
          <w:color w:val="000000"/>
          <w:sz w:val="26"/>
          <w:szCs w:val="26"/>
          <w:rtl/>
        </w:rPr>
        <w:t xml:space="preserve">. </w:t>
      </w:r>
    </w:p>
    <w:p w14:paraId="5F7C3431" w14:textId="3B4896B1" w:rsidR="0014544C" w:rsidRDefault="006F54CA" w:rsidP="00A45523">
      <w:pPr>
        <w:tabs>
          <w:tab w:val="left" w:pos="1020"/>
        </w:tabs>
        <w:autoSpaceDE w:val="0"/>
        <w:autoSpaceDN w:val="0"/>
        <w:adjustRightInd w:val="0"/>
        <w:snapToGrid w:val="0"/>
        <w:ind w:left="0"/>
        <w:contextualSpacing w:val="0"/>
        <w:textAlignment w:val="center"/>
        <w:rPr>
          <w:color w:val="000000"/>
          <w:sz w:val="26"/>
          <w:szCs w:val="26"/>
          <w:rtl/>
        </w:rPr>
      </w:pPr>
      <w:r>
        <w:rPr>
          <w:rFonts w:hint="cs"/>
          <w:b/>
          <w:bCs/>
          <w:color w:val="000000"/>
          <w:sz w:val="26"/>
          <w:szCs w:val="26"/>
          <w:rtl/>
        </w:rPr>
        <w:t>לסעיף 3ב (עריכת פניה מוקדמת לרשות)</w:t>
      </w:r>
      <w:r w:rsidR="00BC68FA">
        <w:rPr>
          <w:rFonts w:hint="cs"/>
          <w:b/>
          <w:bCs/>
          <w:color w:val="000000"/>
          <w:sz w:val="26"/>
          <w:szCs w:val="26"/>
          <w:rtl/>
        </w:rPr>
        <w:t>:</w:t>
      </w:r>
    </w:p>
    <w:p w14:paraId="30452835" w14:textId="0796D3EF" w:rsidR="00A45523" w:rsidRDefault="00A45523" w:rsidP="00A45523">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lastRenderedPageBreak/>
        <w:t>הנושא של פניה מוקדמת ל</w:t>
      </w:r>
      <w:r>
        <w:rPr>
          <w:rFonts w:hint="cs"/>
          <w:color w:val="000000"/>
          <w:sz w:val="26"/>
          <w:szCs w:val="26"/>
          <w:rtl/>
        </w:rPr>
        <w:t xml:space="preserve">רשות </w:t>
      </w:r>
      <w:r w:rsidRPr="000B7A40">
        <w:rPr>
          <w:color w:val="000000"/>
          <w:sz w:val="26"/>
          <w:szCs w:val="26"/>
          <w:rtl/>
        </w:rPr>
        <w:t xml:space="preserve">נדון בפסיקה כאשר בתקופה מסוימת חלה חובה לערוך פניה מוקדמת בתביעה לפי פרט 11, בהתאם לפסק הדין </w:t>
      </w:r>
      <w:proofErr w:type="spellStart"/>
      <w:r w:rsidRPr="000B7A40">
        <w:rPr>
          <w:color w:val="000000"/>
          <w:sz w:val="26"/>
          <w:szCs w:val="26"/>
          <w:rtl/>
        </w:rPr>
        <w:t>בעע"מ</w:t>
      </w:r>
      <w:proofErr w:type="spellEnd"/>
      <w:r w:rsidRPr="000B7A40">
        <w:rPr>
          <w:color w:val="000000"/>
          <w:sz w:val="26"/>
          <w:szCs w:val="26"/>
          <w:rtl/>
        </w:rPr>
        <w:t xml:space="preserve"> 2978/13 מי הגליל-תאגיד והביוב האזורי בע"מ נ' יוסף אחמד יונס (</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Pr="000B7A40">
        <w:rPr>
          <w:color w:val="000000"/>
          <w:sz w:val="26"/>
          <w:szCs w:val="26"/>
          <w:rtl/>
        </w:rPr>
        <w:t xml:space="preserve"> 23.7.2015) (להלן: הערעור בעניין מי הגליל). לאחר מכן, הוחלט על קיומו של דיון נוסף ובפסק הדין בדיון הנוסף </w:t>
      </w:r>
      <w:proofErr w:type="spellStart"/>
      <w:r w:rsidRPr="000B7A40">
        <w:rPr>
          <w:rFonts w:hint="eastAsia"/>
          <w:color w:val="000000"/>
          <w:sz w:val="26"/>
          <w:szCs w:val="26"/>
          <w:rtl/>
        </w:rPr>
        <w:t>ב</w:t>
      </w:r>
      <w:r w:rsidRPr="000B7A40">
        <w:rPr>
          <w:color w:val="000000"/>
          <w:sz w:val="26"/>
          <w:szCs w:val="26"/>
          <w:rtl/>
        </w:rPr>
        <w:t>דנ"מ</w:t>
      </w:r>
      <w:proofErr w:type="spellEnd"/>
      <w:r w:rsidRPr="000B7A40">
        <w:rPr>
          <w:color w:val="000000"/>
          <w:sz w:val="26"/>
          <w:szCs w:val="26"/>
          <w:rtl/>
        </w:rPr>
        <w:t xml:space="preserve"> 5519/15 יוסף אחמד יונס נ' מי הגליל תאגיד המים והביוב האזורי בע"מ (</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Pr="000B7A40">
        <w:rPr>
          <w:color w:val="000000"/>
          <w:sz w:val="26"/>
          <w:szCs w:val="26"/>
          <w:rtl/>
        </w:rPr>
        <w:t xml:space="preserve"> 17.12.2019)‏‏</w:t>
      </w:r>
      <w:r>
        <w:rPr>
          <w:rFonts w:hint="cs"/>
          <w:color w:val="000000"/>
          <w:sz w:val="26"/>
          <w:szCs w:val="26"/>
          <w:rtl/>
        </w:rPr>
        <w:t>(להלן: הדיון נוסף בעניין מי הגליל)</w:t>
      </w:r>
      <w:r w:rsidRPr="000B7A40">
        <w:rPr>
          <w:color w:val="000000"/>
          <w:sz w:val="26"/>
          <w:szCs w:val="26"/>
          <w:rtl/>
        </w:rPr>
        <w:t xml:space="preserve"> נקבע בדעת רוב כי אין בסיס בדין הקיים לקביעת חובה כללית לפניה מוקדמת. כמו כן נקבע כי אין בסיס בדין הקיים לחיוב בשכר טרחה וגמול ביחס לפניה מוקדמת שנענתה ואף אין בסיס בדין הקיים להגשת הליך משפטי בעניין זה. עם זאת, נקבע כי במקרים מסוימים, אי עריכת פניה מוקדמת עשויה לעלות משום חוסר תום לב, ככל שהנסיבות הקונקרטיות הצדיקו עריכת פניה מוקדמת. עוד צוין בפסק הדין שאין מניעה מהסדרה של חובה כאמור בחקיקה.</w:t>
      </w:r>
    </w:p>
    <w:p w14:paraId="5D17AB23" w14:textId="05C35F19" w:rsidR="006F54CA" w:rsidRDefault="00406934" w:rsidP="006F54CA">
      <w:pPr>
        <w:pStyle w:val="TableInnerSideHeading"/>
        <w:tabs>
          <w:tab w:val="clear" w:pos="624"/>
        </w:tabs>
        <w:jc w:val="both"/>
        <w:rPr>
          <w:rtl/>
        </w:rPr>
      </w:pPr>
      <w:r>
        <w:rPr>
          <w:rFonts w:hint="cs"/>
          <w:rtl/>
        </w:rPr>
        <w:t xml:space="preserve">מוצע לקבוע </w:t>
      </w:r>
      <w:r w:rsidR="006F54CA">
        <w:rPr>
          <w:rFonts w:hint="cs"/>
          <w:rtl/>
        </w:rPr>
        <w:t>חובת פניה מוקדמת בתביעות לפי פרט 11 וכן</w:t>
      </w:r>
      <w:r w:rsidR="00BC68FA">
        <w:rPr>
          <w:rFonts w:hint="cs"/>
          <w:rtl/>
        </w:rPr>
        <w:t xml:space="preserve"> בתביעות לפי</w:t>
      </w:r>
      <w:r w:rsidR="006F54CA">
        <w:rPr>
          <w:rFonts w:hint="cs"/>
          <w:rtl/>
        </w:rPr>
        <w:t xml:space="preserve"> פרטים 15 ו-16 המוצעים</w:t>
      </w:r>
      <w:r w:rsidR="00BC68FA">
        <w:rPr>
          <w:rFonts w:hint="cs"/>
          <w:rtl/>
        </w:rPr>
        <w:t xml:space="preserve">, בסעיף </w:t>
      </w:r>
      <w:r w:rsidR="00F32692">
        <w:rPr>
          <w:rFonts w:hint="cs"/>
          <w:rtl/>
        </w:rPr>
        <w:t>24</w:t>
      </w:r>
      <w:r w:rsidR="00BC68FA">
        <w:rPr>
          <w:rFonts w:hint="cs"/>
          <w:rtl/>
        </w:rPr>
        <w:t xml:space="preserve"> לתזכיר</w:t>
      </w:r>
      <w:r w:rsidR="006F54CA">
        <w:rPr>
          <w:rFonts w:hint="cs"/>
          <w:rtl/>
        </w:rPr>
        <w:t xml:space="preserve"> זה</w:t>
      </w:r>
      <w:r w:rsidR="00BC68FA">
        <w:rPr>
          <w:rFonts w:hint="cs"/>
          <w:rtl/>
        </w:rPr>
        <w:t>,</w:t>
      </w:r>
      <w:r w:rsidR="006F54CA">
        <w:rPr>
          <w:rFonts w:hint="cs"/>
          <w:rtl/>
        </w:rPr>
        <w:t xml:space="preserve"> </w:t>
      </w:r>
      <w:r w:rsidR="00BC68FA">
        <w:rPr>
          <w:rFonts w:hint="cs"/>
          <w:rtl/>
        </w:rPr>
        <w:t>ש</w:t>
      </w:r>
      <w:r w:rsidR="006F54CA">
        <w:rPr>
          <w:rFonts w:hint="cs"/>
          <w:rtl/>
        </w:rPr>
        <w:t>עניינם בהחלת ההגנות הקבועות לרשות בתביעה לפי פרט 11 גם לרשות מקרקעי ישראל ו</w:t>
      </w:r>
      <w:r w:rsidR="00BC68FA">
        <w:rPr>
          <w:rFonts w:hint="cs"/>
          <w:rtl/>
        </w:rPr>
        <w:t>לתאגידי המים ומועצות מקומיות</w:t>
      </w:r>
      <w:r w:rsidR="0035284A">
        <w:rPr>
          <w:rFonts w:hint="cs"/>
          <w:rtl/>
        </w:rPr>
        <w:t xml:space="preserve"> לגבי גבייה שלא כדין</w:t>
      </w:r>
      <w:r w:rsidR="00BC68FA">
        <w:rPr>
          <w:rFonts w:hint="cs"/>
          <w:rtl/>
        </w:rPr>
        <w:t>.</w:t>
      </w:r>
    </w:p>
    <w:p w14:paraId="2598FD12" w14:textId="6F03AC2F" w:rsidR="00BC68FA" w:rsidRPr="000B7A40" w:rsidRDefault="00BC68FA" w:rsidP="00BC68FA">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בהתאם למוצע, לפני הגשת תביעה כאמור, על המבקש יהיה לשלוח לרשות פנייה מוקדמת הדורשת ממנה להפסיק את הגבייה. רק אם הרשות לא הפסיקה את הגבייה בתוך 60 יום מהפניה אליה, ניתן יהיה להגיש תובענה ייצוגית לפי פרט</w:t>
      </w:r>
      <w:r w:rsidR="00364997">
        <w:rPr>
          <w:rFonts w:hint="cs"/>
          <w:color w:val="000000"/>
          <w:sz w:val="26"/>
          <w:szCs w:val="26"/>
          <w:rtl/>
        </w:rPr>
        <w:t>ים</w:t>
      </w:r>
      <w:r w:rsidRPr="000B7A40">
        <w:rPr>
          <w:color w:val="000000"/>
          <w:sz w:val="26"/>
          <w:szCs w:val="26"/>
          <w:rtl/>
        </w:rPr>
        <w:t xml:space="preserve"> 11</w:t>
      </w:r>
      <w:r w:rsidR="00364997">
        <w:rPr>
          <w:rFonts w:hint="cs"/>
          <w:color w:val="000000"/>
          <w:sz w:val="26"/>
          <w:szCs w:val="26"/>
          <w:rtl/>
        </w:rPr>
        <w:t>, 15 ו-16</w:t>
      </w:r>
      <w:r w:rsidRPr="000B7A40">
        <w:rPr>
          <w:color w:val="000000"/>
          <w:sz w:val="26"/>
          <w:szCs w:val="26"/>
          <w:rtl/>
        </w:rPr>
        <w:t xml:space="preserve"> לתוספת השנייה לחוק. </w:t>
      </w:r>
    </w:p>
    <w:p w14:paraId="253C83F0" w14:textId="27FA43EE" w:rsidR="00BC68FA" w:rsidRPr="0014544C" w:rsidRDefault="00BC68FA" w:rsidP="0014544C">
      <w:pPr>
        <w:tabs>
          <w:tab w:val="left" w:pos="1020"/>
        </w:tabs>
        <w:autoSpaceDE w:val="0"/>
        <w:autoSpaceDN w:val="0"/>
        <w:adjustRightInd w:val="0"/>
        <w:snapToGrid w:val="0"/>
        <w:ind w:left="0"/>
        <w:contextualSpacing w:val="0"/>
        <w:textAlignment w:val="center"/>
        <w:rPr>
          <w:color w:val="000000"/>
          <w:sz w:val="26"/>
          <w:szCs w:val="26"/>
          <w:rtl/>
        </w:rPr>
      </w:pPr>
      <w:r w:rsidRPr="0082273B">
        <w:rPr>
          <w:sz w:val="26"/>
          <w:szCs w:val="26"/>
          <w:rtl/>
        </w:rPr>
        <w:t>בעריכת פניה מוקדמת לרשות בטרם הגשת תביעה נגדה בפרט</w:t>
      </w:r>
      <w:r>
        <w:rPr>
          <w:rFonts w:hint="cs"/>
          <w:sz w:val="26"/>
          <w:szCs w:val="26"/>
          <w:rtl/>
        </w:rPr>
        <w:t>ים</w:t>
      </w:r>
      <w:r w:rsidRPr="0082273B">
        <w:rPr>
          <w:sz w:val="26"/>
          <w:szCs w:val="26"/>
          <w:rtl/>
        </w:rPr>
        <w:t xml:space="preserve"> 11</w:t>
      </w:r>
      <w:r>
        <w:rPr>
          <w:rFonts w:hint="cs"/>
          <w:sz w:val="26"/>
          <w:szCs w:val="26"/>
          <w:rtl/>
        </w:rPr>
        <w:t xml:space="preserve">, 15 ו-16 בתוספת </w:t>
      </w:r>
      <w:proofErr w:type="spellStart"/>
      <w:r>
        <w:rPr>
          <w:rFonts w:hint="cs"/>
          <w:sz w:val="26"/>
          <w:szCs w:val="26"/>
          <w:rtl/>
        </w:rPr>
        <w:t>השניה</w:t>
      </w:r>
      <w:proofErr w:type="spellEnd"/>
      <w:r w:rsidRPr="0082273B">
        <w:rPr>
          <w:sz w:val="26"/>
          <w:szCs w:val="26"/>
          <w:rtl/>
        </w:rPr>
        <w:t xml:space="preserve"> ניתן ל</w:t>
      </w:r>
      <w:r w:rsidR="0035284A">
        <w:rPr>
          <w:rFonts w:hint="cs"/>
          <w:sz w:val="26"/>
          <w:szCs w:val="26"/>
          <w:rtl/>
        </w:rPr>
        <w:t>השיג את ה</w:t>
      </w:r>
      <w:r w:rsidRPr="0082273B">
        <w:rPr>
          <w:sz w:val="26"/>
          <w:szCs w:val="26"/>
          <w:rtl/>
        </w:rPr>
        <w:t xml:space="preserve">תכלית המרכזית של ההליך שהיא הפסקת הגביה ללא היזקקות להליך משפטי ובכך להגשים ביעילות את תכליתה של התובענה הייצוגית בפרט זה תוך חיסכון במשאבים לכל </w:t>
      </w:r>
      <w:r w:rsidRPr="000B7A40">
        <w:rPr>
          <w:color w:val="000000"/>
          <w:sz w:val="26"/>
          <w:szCs w:val="26"/>
          <w:rtl/>
        </w:rPr>
        <w:t xml:space="preserve">הצדדים ולמערכת השיפוטית. בנוסף, במקרים לא מעטים, הפניה המוקדמת עשויה להבהיר לפונה שטענותיו בטעות יסודן ואין כל דופי באופן פעולת הרשות, שגבתה את הכספים כדת וכדין. כך, הפניה המוקדמת תחסוך ניהול הליך משפטי מיותר. </w:t>
      </w:r>
      <w:r w:rsidRPr="000B7A40">
        <w:rPr>
          <w:rFonts w:hint="eastAsia"/>
          <w:color w:val="000000"/>
          <w:sz w:val="26"/>
          <w:szCs w:val="26"/>
          <w:rtl/>
        </w:rPr>
        <w:t>עוד</w:t>
      </w:r>
      <w:r w:rsidRPr="000B7A40">
        <w:rPr>
          <w:color w:val="000000"/>
          <w:sz w:val="26"/>
          <w:szCs w:val="26"/>
          <w:rtl/>
        </w:rPr>
        <w:t xml:space="preserve"> יצוין כי התובענה הייצוגית נגד רשות לפי פרט</w:t>
      </w:r>
      <w:r>
        <w:rPr>
          <w:rFonts w:hint="cs"/>
          <w:color w:val="000000"/>
          <w:sz w:val="26"/>
          <w:szCs w:val="26"/>
          <w:rtl/>
        </w:rPr>
        <w:t>ים אלו</w:t>
      </w:r>
      <w:r w:rsidRPr="000B7A40">
        <w:rPr>
          <w:color w:val="000000"/>
          <w:sz w:val="26"/>
          <w:szCs w:val="26"/>
          <w:rtl/>
        </w:rPr>
        <w:t xml:space="preserve"> היא תובענה מנהלית</w:t>
      </w:r>
      <w:r w:rsidR="00CF61CF" w:rsidRPr="00CF61CF">
        <w:rPr>
          <w:rFonts w:hint="cs"/>
          <w:color w:val="000000"/>
          <w:sz w:val="26"/>
          <w:szCs w:val="26"/>
          <w:rtl/>
        </w:rPr>
        <w:t xml:space="preserve"> </w:t>
      </w:r>
      <w:r w:rsidR="00CF61CF">
        <w:rPr>
          <w:rFonts w:hint="cs"/>
          <w:color w:val="000000"/>
          <w:sz w:val="26"/>
          <w:szCs w:val="26"/>
          <w:rtl/>
        </w:rPr>
        <w:t>הנדונה בבתי המשפט לעניינים מנהליים</w:t>
      </w:r>
      <w:r w:rsidRPr="000B7A40">
        <w:rPr>
          <w:color w:val="000000"/>
          <w:sz w:val="26"/>
          <w:szCs w:val="26"/>
          <w:rtl/>
        </w:rPr>
        <w:t>, כאשר משמעות הדברים שחלה על הליך זה דואליות נורמטיבית, ובמסגרת זו, חלים על ההליך, בין היתר כללי המשפטי המנהלי, גם אם בהתאמות הנדרשות לאופיו הייחודי של ההליך הייצוגי. ככלל, לפי כללי המשפט המנהלי, אדם המעוניין להביא לשינוי החלטת רשות מנהלית, צריך להקדים ולפנות אליה בעניין בטרם ינקוט הליך משפטי, תוך מיצוי סביר של דרכי הפעולה המקובלות. בהתאם, קביעת חובת פנייה מוקדמת טרם הגשת תובענה ייצוגית מנהלית נגד רשות, תואמת את כללי המשפט המנהלי ואת עילות הסף הנהוגות בהליכים מנהליים</w:t>
      </w:r>
      <w:r w:rsidR="0035284A">
        <w:rPr>
          <w:rFonts w:hint="cs"/>
          <w:color w:val="000000"/>
          <w:sz w:val="26"/>
          <w:szCs w:val="26"/>
          <w:rtl/>
        </w:rPr>
        <w:t xml:space="preserve"> למיצוי הליכים בטרם הגשת עתירה</w:t>
      </w:r>
      <w:r w:rsidRPr="000B7A40">
        <w:rPr>
          <w:color w:val="000000"/>
          <w:sz w:val="26"/>
          <w:szCs w:val="26"/>
          <w:rtl/>
        </w:rPr>
        <w:t xml:space="preserve">. </w:t>
      </w:r>
    </w:p>
    <w:p w14:paraId="2F4A889D" w14:textId="3323F09D" w:rsidR="00BC68FA" w:rsidRDefault="00BC68FA" w:rsidP="00406934">
      <w:pPr>
        <w:tabs>
          <w:tab w:val="left" w:pos="1020"/>
        </w:tabs>
        <w:autoSpaceDE w:val="0"/>
        <w:autoSpaceDN w:val="0"/>
        <w:adjustRightInd w:val="0"/>
        <w:snapToGrid w:val="0"/>
        <w:ind w:left="0"/>
        <w:contextualSpacing w:val="0"/>
        <w:textAlignment w:val="center"/>
        <w:rPr>
          <w:sz w:val="26"/>
          <w:szCs w:val="26"/>
          <w:rtl/>
        </w:rPr>
      </w:pPr>
      <w:r w:rsidRPr="0082273B">
        <w:rPr>
          <w:rFonts w:hint="eastAsia"/>
          <w:sz w:val="26"/>
          <w:szCs w:val="26"/>
          <w:rtl/>
        </w:rPr>
        <w:t>עוד</w:t>
      </w:r>
      <w:r w:rsidRPr="0082273B">
        <w:rPr>
          <w:sz w:val="26"/>
          <w:szCs w:val="26"/>
          <w:rtl/>
        </w:rPr>
        <w:t xml:space="preserve"> מוצע לקבוע כי על מי </w:t>
      </w:r>
      <w:r w:rsidRPr="00F32692">
        <w:rPr>
          <w:sz w:val="26"/>
          <w:szCs w:val="26"/>
          <w:rtl/>
        </w:rPr>
        <w:t xml:space="preserve">שמבקש להגיש פניה מוקדמת, לשלם </w:t>
      </w:r>
      <w:r w:rsidR="00E8302E" w:rsidRPr="00F32692">
        <w:rPr>
          <w:rFonts w:hint="cs"/>
          <w:sz w:val="26"/>
          <w:szCs w:val="26"/>
          <w:rtl/>
        </w:rPr>
        <w:t>אגרה</w:t>
      </w:r>
      <w:r w:rsidR="00E8302E" w:rsidRPr="00F32692">
        <w:rPr>
          <w:sz w:val="26"/>
          <w:szCs w:val="26"/>
          <w:rtl/>
        </w:rPr>
        <w:t xml:space="preserve"> </w:t>
      </w:r>
      <w:r w:rsidRPr="00F32692">
        <w:rPr>
          <w:sz w:val="26"/>
          <w:szCs w:val="26"/>
          <w:rtl/>
        </w:rPr>
        <w:t xml:space="preserve">בשיעור שייקבע בתקנות. בנוסף, </w:t>
      </w:r>
      <w:r w:rsidRPr="00F32692">
        <w:rPr>
          <w:rFonts w:hint="eastAsia"/>
          <w:color w:val="000000"/>
          <w:sz w:val="26"/>
          <w:szCs w:val="26"/>
          <w:rtl/>
        </w:rPr>
        <w:t>ובדומה</w:t>
      </w:r>
      <w:r w:rsidRPr="00F32692">
        <w:rPr>
          <w:rFonts w:hint="cs"/>
          <w:sz w:val="26"/>
          <w:szCs w:val="26"/>
          <w:rtl/>
        </w:rPr>
        <w:t xml:space="preserve"> להסדר שהוצע בסעיף 3א לחוק, מוצע לקבוע כי אם הרשות הפסיקה את הגבייה תוך 60 ימים, תשלם הרשות לפונה תגמול</w:t>
      </w:r>
      <w:r w:rsidRPr="00F32692">
        <w:rPr>
          <w:sz w:val="26"/>
          <w:szCs w:val="26"/>
          <w:rtl/>
        </w:rPr>
        <w:t xml:space="preserve"> </w:t>
      </w:r>
      <w:r w:rsidRPr="00F32692">
        <w:rPr>
          <w:rFonts w:hint="eastAsia"/>
          <w:sz w:val="26"/>
          <w:szCs w:val="26"/>
          <w:rtl/>
        </w:rPr>
        <w:t>וזאת</w:t>
      </w:r>
      <w:r w:rsidRPr="00F32692">
        <w:rPr>
          <w:sz w:val="26"/>
          <w:szCs w:val="26"/>
          <w:rtl/>
        </w:rPr>
        <w:t xml:space="preserve"> לצורך שמירה על מערך התמריצים הכלכליים העומד בבסיס התובענה הייצוגית. מוצע לקבוע שהתגמול ייקבע </w:t>
      </w:r>
      <w:r w:rsidRPr="00F32692">
        <w:rPr>
          <w:rFonts w:hint="eastAsia"/>
          <w:sz w:val="26"/>
          <w:szCs w:val="26"/>
          <w:rtl/>
        </w:rPr>
        <w:t>בפרט</w:t>
      </w:r>
      <w:r w:rsidRPr="00F32692">
        <w:rPr>
          <w:sz w:val="26"/>
          <w:szCs w:val="26"/>
          <w:rtl/>
        </w:rPr>
        <w:t xml:space="preserve"> 1 לתוספת החמישית לחוק</w:t>
      </w:r>
      <w:r w:rsidR="00866AFA" w:rsidRPr="00F32692">
        <w:rPr>
          <w:rFonts w:hint="cs"/>
          <w:sz w:val="26"/>
          <w:szCs w:val="26"/>
          <w:rtl/>
        </w:rPr>
        <w:t>,</w:t>
      </w:r>
      <w:r w:rsidR="00866AFA">
        <w:rPr>
          <w:rFonts w:hint="cs"/>
          <w:sz w:val="26"/>
          <w:szCs w:val="26"/>
          <w:rtl/>
        </w:rPr>
        <w:t xml:space="preserve"> בדומה לפניה מוקדמת שנענתה ביחס לנתבע פרטי</w:t>
      </w:r>
      <w:r w:rsidRPr="0082273B">
        <w:rPr>
          <w:sz w:val="26"/>
          <w:szCs w:val="26"/>
          <w:rtl/>
        </w:rPr>
        <w:t xml:space="preserve">. </w:t>
      </w:r>
      <w:r w:rsidRPr="0082273B">
        <w:rPr>
          <w:rFonts w:hint="eastAsia"/>
          <w:sz w:val="26"/>
          <w:szCs w:val="26"/>
          <w:rtl/>
        </w:rPr>
        <w:t>כן</w:t>
      </w:r>
      <w:r w:rsidRPr="0082273B">
        <w:rPr>
          <w:sz w:val="26"/>
          <w:szCs w:val="26"/>
          <w:rtl/>
        </w:rPr>
        <w:t xml:space="preserve"> </w:t>
      </w:r>
      <w:r w:rsidRPr="0082273B">
        <w:rPr>
          <w:rFonts w:hint="eastAsia"/>
          <w:sz w:val="26"/>
          <w:szCs w:val="26"/>
          <w:rtl/>
        </w:rPr>
        <w:t>מוצע</w:t>
      </w:r>
      <w:r w:rsidRPr="0082273B">
        <w:rPr>
          <w:sz w:val="26"/>
          <w:szCs w:val="26"/>
          <w:rtl/>
        </w:rPr>
        <w:t xml:space="preserve"> </w:t>
      </w:r>
      <w:r w:rsidRPr="0082273B">
        <w:rPr>
          <w:rFonts w:hint="eastAsia"/>
          <w:sz w:val="26"/>
          <w:szCs w:val="26"/>
          <w:rtl/>
        </w:rPr>
        <w:t>לקבוע</w:t>
      </w:r>
      <w:r w:rsidRPr="0082273B">
        <w:rPr>
          <w:sz w:val="26"/>
          <w:szCs w:val="26"/>
          <w:rtl/>
        </w:rPr>
        <w:t xml:space="preserve"> </w:t>
      </w:r>
      <w:r w:rsidRPr="0082273B">
        <w:rPr>
          <w:rFonts w:hint="eastAsia"/>
          <w:sz w:val="26"/>
          <w:szCs w:val="26"/>
          <w:rtl/>
        </w:rPr>
        <w:t>כי</w:t>
      </w:r>
      <w:r w:rsidR="00A32411">
        <w:rPr>
          <w:rFonts w:hint="cs"/>
          <w:sz w:val="26"/>
          <w:szCs w:val="26"/>
          <w:rtl/>
        </w:rPr>
        <w:t xml:space="preserve"> ההודעה על הפניה המוקדמת והמענה לה תפורסם</w:t>
      </w:r>
      <w:r w:rsidR="00AB2AAA">
        <w:rPr>
          <w:rFonts w:hint="cs"/>
          <w:sz w:val="26"/>
          <w:szCs w:val="26"/>
          <w:rtl/>
        </w:rPr>
        <w:t xml:space="preserve"> </w:t>
      </w:r>
      <w:r w:rsidRPr="0082273B">
        <w:rPr>
          <w:rFonts w:hint="eastAsia"/>
          <w:sz w:val="26"/>
          <w:szCs w:val="26"/>
          <w:rtl/>
        </w:rPr>
        <w:t>וזאת</w:t>
      </w:r>
      <w:r w:rsidRPr="0082273B">
        <w:rPr>
          <w:sz w:val="26"/>
          <w:szCs w:val="26"/>
          <w:rtl/>
        </w:rPr>
        <w:t xml:space="preserve"> </w:t>
      </w:r>
      <w:r w:rsidRPr="0082273B">
        <w:rPr>
          <w:rFonts w:hint="eastAsia"/>
          <w:sz w:val="26"/>
          <w:szCs w:val="26"/>
          <w:rtl/>
        </w:rPr>
        <w:t>לצורך</w:t>
      </w:r>
      <w:r w:rsidRPr="0082273B">
        <w:rPr>
          <w:sz w:val="26"/>
          <w:szCs w:val="26"/>
          <w:rtl/>
        </w:rPr>
        <w:t xml:space="preserve"> </w:t>
      </w:r>
      <w:r w:rsidRPr="0082273B">
        <w:rPr>
          <w:rFonts w:hint="eastAsia"/>
          <w:sz w:val="26"/>
          <w:szCs w:val="26"/>
          <w:rtl/>
        </w:rPr>
        <w:t>שמירה</w:t>
      </w:r>
      <w:r w:rsidRPr="0082273B">
        <w:rPr>
          <w:sz w:val="26"/>
          <w:szCs w:val="26"/>
          <w:rtl/>
        </w:rPr>
        <w:t xml:space="preserve"> </w:t>
      </w:r>
      <w:r w:rsidRPr="0082273B">
        <w:rPr>
          <w:rFonts w:hint="eastAsia"/>
          <w:sz w:val="26"/>
          <w:szCs w:val="26"/>
          <w:rtl/>
        </w:rPr>
        <w:t>על</w:t>
      </w:r>
      <w:r w:rsidRPr="0082273B">
        <w:rPr>
          <w:sz w:val="26"/>
          <w:szCs w:val="26"/>
          <w:rtl/>
        </w:rPr>
        <w:t xml:space="preserve"> </w:t>
      </w:r>
      <w:r w:rsidRPr="0082273B">
        <w:rPr>
          <w:rFonts w:hint="eastAsia"/>
          <w:sz w:val="26"/>
          <w:szCs w:val="26"/>
          <w:rtl/>
        </w:rPr>
        <w:t>אופיו</w:t>
      </w:r>
      <w:r w:rsidRPr="0082273B">
        <w:rPr>
          <w:sz w:val="26"/>
          <w:szCs w:val="26"/>
          <w:rtl/>
        </w:rPr>
        <w:t xml:space="preserve"> </w:t>
      </w:r>
      <w:r w:rsidRPr="0082273B">
        <w:rPr>
          <w:rFonts w:hint="eastAsia"/>
          <w:sz w:val="26"/>
          <w:szCs w:val="26"/>
          <w:rtl/>
        </w:rPr>
        <w:t>הפומבי</w:t>
      </w:r>
      <w:r w:rsidRPr="0082273B">
        <w:rPr>
          <w:sz w:val="26"/>
          <w:szCs w:val="26"/>
          <w:rtl/>
        </w:rPr>
        <w:t xml:space="preserve"> </w:t>
      </w:r>
      <w:r w:rsidRPr="0082273B">
        <w:rPr>
          <w:rFonts w:hint="eastAsia"/>
          <w:sz w:val="26"/>
          <w:szCs w:val="26"/>
          <w:rtl/>
        </w:rPr>
        <w:t>של</w:t>
      </w:r>
      <w:r w:rsidRPr="0082273B">
        <w:rPr>
          <w:sz w:val="26"/>
          <w:szCs w:val="26"/>
          <w:rtl/>
        </w:rPr>
        <w:t xml:space="preserve"> </w:t>
      </w:r>
      <w:r w:rsidRPr="0082273B">
        <w:rPr>
          <w:rFonts w:hint="eastAsia"/>
          <w:sz w:val="26"/>
          <w:szCs w:val="26"/>
          <w:rtl/>
        </w:rPr>
        <w:t>ההליך</w:t>
      </w:r>
      <w:r w:rsidRPr="0082273B">
        <w:rPr>
          <w:sz w:val="26"/>
          <w:szCs w:val="26"/>
          <w:rtl/>
        </w:rPr>
        <w:t xml:space="preserve"> </w:t>
      </w:r>
      <w:r w:rsidRPr="0082273B">
        <w:rPr>
          <w:rFonts w:hint="eastAsia"/>
          <w:sz w:val="26"/>
          <w:szCs w:val="26"/>
          <w:rtl/>
        </w:rPr>
        <w:t>הייצוגי</w:t>
      </w:r>
      <w:r w:rsidRPr="0082273B">
        <w:rPr>
          <w:sz w:val="26"/>
          <w:szCs w:val="26"/>
          <w:rtl/>
        </w:rPr>
        <w:t xml:space="preserve">. </w:t>
      </w:r>
      <w:r w:rsidRPr="0082273B">
        <w:rPr>
          <w:rFonts w:hint="eastAsia"/>
          <w:sz w:val="26"/>
          <w:szCs w:val="26"/>
          <w:rtl/>
        </w:rPr>
        <w:t>עוד</w:t>
      </w:r>
      <w:r w:rsidRPr="0082273B">
        <w:rPr>
          <w:sz w:val="26"/>
          <w:szCs w:val="26"/>
          <w:rtl/>
        </w:rPr>
        <w:t xml:space="preserve"> </w:t>
      </w:r>
      <w:r w:rsidRPr="0082273B">
        <w:rPr>
          <w:rFonts w:hint="eastAsia"/>
          <w:sz w:val="26"/>
          <w:szCs w:val="26"/>
          <w:rtl/>
        </w:rPr>
        <w:t>בדומה</w:t>
      </w:r>
      <w:r w:rsidRPr="0082273B">
        <w:rPr>
          <w:sz w:val="26"/>
          <w:szCs w:val="26"/>
          <w:rtl/>
        </w:rPr>
        <w:t xml:space="preserve"> </w:t>
      </w:r>
      <w:r w:rsidRPr="0082273B">
        <w:rPr>
          <w:rFonts w:hint="eastAsia"/>
          <w:sz w:val="26"/>
          <w:szCs w:val="26"/>
          <w:rtl/>
        </w:rPr>
        <w:t>לסעיף</w:t>
      </w:r>
      <w:r w:rsidRPr="0082273B">
        <w:rPr>
          <w:sz w:val="26"/>
          <w:szCs w:val="26"/>
          <w:rtl/>
        </w:rPr>
        <w:t xml:space="preserve"> 3א </w:t>
      </w:r>
      <w:r w:rsidRPr="0082273B">
        <w:rPr>
          <w:rFonts w:hint="eastAsia"/>
          <w:sz w:val="26"/>
          <w:szCs w:val="26"/>
          <w:rtl/>
        </w:rPr>
        <w:t>לחוק</w:t>
      </w:r>
      <w:r w:rsidRPr="0082273B">
        <w:rPr>
          <w:sz w:val="26"/>
          <w:szCs w:val="26"/>
          <w:rtl/>
        </w:rPr>
        <w:t xml:space="preserve">, </w:t>
      </w:r>
      <w:r w:rsidRPr="0082273B">
        <w:rPr>
          <w:rFonts w:hint="eastAsia"/>
          <w:sz w:val="26"/>
          <w:szCs w:val="26"/>
          <w:rtl/>
        </w:rPr>
        <w:t>מוצע</w:t>
      </w:r>
      <w:r w:rsidRPr="0082273B">
        <w:rPr>
          <w:sz w:val="26"/>
          <w:szCs w:val="26"/>
          <w:rtl/>
        </w:rPr>
        <w:t xml:space="preserve"> </w:t>
      </w:r>
      <w:r w:rsidRPr="0082273B">
        <w:rPr>
          <w:rFonts w:hint="eastAsia"/>
          <w:sz w:val="26"/>
          <w:szCs w:val="26"/>
          <w:rtl/>
        </w:rPr>
        <w:t>לקבוע</w:t>
      </w:r>
      <w:r w:rsidRPr="0082273B">
        <w:rPr>
          <w:sz w:val="26"/>
          <w:szCs w:val="26"/>
          <w:rtl/>
        </w:rPr>
        <w:t xml:space="preserve"> </w:t>
      </w:r>
      <w:r w:rsidRPr="0082273B">
        <w:rPr>
          <w:rFonts w:hint="eastAsia"/>
          <w:sz w:val="26"/>
          <w:szCs w:val="26"/>
          <w:rtl/>
        </w:rPr>
        <w:t>כי</w:t>
      </w:r>
      <w:r w:rsidRPr="0082273B">
        <w:rPr>
          <w:sz w:val="26"/>
          <w:szCs w:val="26"/>
          <w:rtl/>
        </w:rPr>
        <w:t xml:space="preserve"> </w:t>
      </w:r>
      <w:r w:rsidRPr="0082273B">
        <w:rPr>
          <w:rFonts w:hint="eastAsia"/>
          <w:sz w:val="26"/>
          <w:szCs w:val="26"/>
          <w:rtl/>
        </w:rPr>
        <w:t>הודעה</w:t>
      </w:r>
      <w:r w:rsidRPr="0082273B">
        <w:rPr>
          <w:sz w:val="26"/>
          <w:szCs w:val="26"/>
          <w:rtl/>
        </w:rPr>
        <w:t xml:space="preserve"> </w:t>
      </w:r>
      <w:r w:rsidRPr="0082273B">
        <w:rPr>
          <w:rFonts w:hint="eastAsia"/>
          <w:sz w:val="26"/>
          <w:szCs w:val="26"/>
          <w:rtl/>
        </w:rPr>
        <w:t>של</w:t>
      </w:r>
      <w:r w:rsidRPr="0082273B">
        <w:rPr>
          <w:sz w:val="26"/>
          <w:szCs w:val="26"/>
          <w:rtl/>
        </w:rPr>
        <w:t xml:space="preserve"> </w:t>
      </w:r>
      <w:r w:rsidRPr="0082273B">
        <w:rPr>
          <w:rFonts w:hint="eastAsia"/>
          <w:sz w:val="26"/>
          <w:szCs w:val="26"/>
          <w:rtl/>
        </w:rPr>
        <w:t>הרשות</w:t>
      </w:r>
      <w:r w:rsidRPr="0082273B">
        <w:rPr>
          <w:sz w:val="26"/>
          <w:szCs w:val="26"/>
          <w:rtl/>
        </w:rPr>
        <w:t xml:space="preserve"> </w:t>
      </w:r>
      <w:r w:rsidRPr="0082273B">
        <w:rPr>
          <w:rFonts w:hint="eastAsia"/>
          <w:sz w:val="26"/>
          <w:szCs w:val="26"/>
          <w:rtl/>
        </w:rPr>
        <w:t>על</w:t>
      </w:r>
      <w:r w:rsidRPr="0082273B">
        <w:rPr>
          <w:sz w:val="26"/>
          <w:szCs w:val="26"/>
          <w:rtl/>
        </w:rPr>
        <w:t xml:space="preserve"> </w:t>
      </w:r>
      <w:r w:rsidRPr="0082273B">
        <w:rPr>
          <w:rFonts w:hint="eastAsia"/>
          <w:sz w:val="26"/>
          <w:szCs w:val="26"/>
          <w:rtl/>
        </w:rPr>
        <w:t>הפסקת</w:t>
      </w:r>
      <w:r w:rsidRPr="0082273B">
        <w:rPr>
          <w:sz w:val="26"/>
          <w:szCs w:val="26"/>
          <w:rtl/>
        </w:rPr>
        <w:t xml:space="preserve"> </w:t>
      </w:r>
      <w:r w:rsidRPr="0082273B">
        <w:rPr>
          <w:rFonts w:hint="eastAsia"/>
          <w:sz w:val="26"/>
          <w:szCs w:val="26"/>
          <w:rtl/>
        </w:rPr>
        <w:t>הגבייה</w:t>
      </w:r>
      <w:r w:rsidRPr="0082273B">
        <w:rPr>
          <w:sz w:val="26"/>
          <w:szCs w:val="26"/>
          <w:rtl/>
        </w:rPr>
        <w:t xml:space="preserve"> </w:t>
      </w:r>
      <w:r w:rsidRPr="0082273B">
        <w:rPr>
          <w:rFonts w:hint="eastAsia"/>
          <w:sz w:val="26"/>
          <w:szCs w:val="26"/>
          <w:rtl/>
        </w:rPr>
        <w:t>לא</w:t>
      </w:r>
      <w:r w:rsidRPr="0082273B">
        <w:rPr>
          <w:sz w:val="26"/>
          <w:szCs w:val="26"/>
          <w:rtl/>
        </w:rPr>
        <w:t xml:space="preserve"> </w:t>
      </w:r>
      <w:r w:rsidRPr="0082273B">
        <w:rPr>
          <w:rFonts w:hint="eastAsia"/>
          <w:sz w:val="26"/>
          <w:szCs w:val="26"/>
          <w:rtl/>
        </w:rPr>
        <w:t>תהווה</w:t>
      </w:r>
      <w:r w:rsidRPr="0082273B">
        <w:rPr>
          <w:sz w:val="26"/>
          <w:szCs w:val="26"/>
          <w:rtl/>
        </w:rPr>
        <w:t xml:space="preserve"> </w:t>
      </w:r>
      <w:r w:rsidRPr="0082273B">
        <w:rPr>
          <w:rFonts w:hint="eastAsia"/>
          <w:sz w:val="26"/>
          <w:szCs w:val="26"/>
          <w:rtl/>
        </w:rPr>
        <w:t>ראיה</w:t>
      </w:r>
      <w:r w:rsidRPr="0082273B">
        <w:rPr>
          <w:sz w:val="26"/>
          <w:szCs w:val="26"/>
          <w:rtl/>
        </w:rPr>
        <w:t xml:space="preserve"> </w:t>
      </w:r>
      <w:r>
        <w:rPr>
          <w:rFonts w:hint="cs"/>
          <w:sz w:val="26"/>
          <w:szCs w:val="26"/>
          <w:rtl/>
        </w:rPr>
        <w:t xml:space="preserve">להודיית הרשות </w:t>
      </w:r>
      <w:r w:rsidRPr="0082273B">
        <w:rPr>
          <w:rFonts w:hint="eastAsia"/>
          <w:sz w:val="26"/>
          <w:szCs w:val="26"/>
          <w:rtl/>
        </w:rPr>
        <w:t>בהליך</w:t>
      </w:r>
      <w:r w:rsidRPr="0082273B">
        <w:rPr>
          <w:sz w:val="26"/>
          <w:szCs w:val="26"/>
          <w:rtl/>
        </w:rPr>
        <w:t xml:space="preserve"> </w:t>
      </w:r>
      <w:r w:rsidRPr="0082273B">
        <w:rPr>
          <w:rFonts w:hint="eastAsia"/>
          <w:sz w:val="26"/>
          <w:szCs w:val="26"/>
          <w:rtl/>
        </w:rPr>
        <w:t>משפטי</w:t>
      </w:r>
      <w:r w:rsidRPr="0082273B">
        <w:rPr>
          <w:sz w:val="26"/>
          <w:szCs w:val="26"/>
          <w:rtl/>
        </w:rPr>
        <w:t xml:space="preserve"> </w:t>
      </w:r>
      <w:r w:rsidRPr="0082273B">
        <w:rPr>
          <w:rFonts w:hint="eastAsia"/>
          <w:sz w:val="26"/>
          <w:szCs w:val="26"/>
          <w:rtl/>
        </w:rPr>
        <w:t>אזרחי</w:t>
      </w:r>
      <w:r w:rsidRPr="0082273B">
        <w:rPr>
          <w:sz w:val="26"/>
          <w:szCs w:val="26"/>
          <w:rtl/>
        </w:rPr>
        <w:t xml:space="preserve">. </w:t>
      </w:r>
      <w:r w:rsidR="00406934">
        <w:rPr>
          <w:rFonts w:hint="cs"/>
          <w:color w:val="000000"/>
          <w:sz w:val="26"/>
          <w:szCs w:val="26"/>
          <w:rtl/>
        </w:rPr>
        <w:t xml:space="preserve">זאת בדומה לדין הקיים היום בכל הנוגע לחדילה של הרשות, אשר אינה מהווה כידוע הודאה בטענות התביעה לגבייה שאינה כדין (לעניין </w:t>
      </w:r>
      <w:r w:rsidR="00406934">
        <w:rPr>
          <w:rFonts w:hint="cs"/>
          <w:color w:val="000000"/>
          <w:sz w:val="26"/>
          <w:szCs w:val="26"/>
          <w:rtl/>
        </w:rPr>
        <w:lastRenderedPageBreak/>
        <w:t xml:space="preserve">זה, ראו לדוגמא </w:t>
      </w:r>
      <w:r w:rsidR="00406934" w:rsidRPr="009506A4">
        <w:rPr>
          <w:color w:val="000000"/>
          <w:sz w:val="26"/>
          <w:szCs w:val="26"/>
          <w:rtl/>
        </w:rPr>
        <w:t>ת"צ (ירושלים) 36544-12-11 בראשי נ' עיריית ירושלים [פורסם בנבו] (2013)</w:t>
      </w:r>
      <w:r w:rsidR="00406934">
        <w:rPr>
          <w:rFonts w:hint="cs"/>
          <w:color w:val="000000"/>
          <w:sz w:val="26"/>
          <w:szCs w:val="26"/>
          <w:rtl/>
        </w:rPr>
        <w:t xml:space="preserve"> (</w:t>
      </w:r>
      <w:r w:rsidR="00406934" w:rsidRPr="009506A4">
        <w:rPr>
          <w:color w:val="000000"/>
          <w:sz w:val="26"/>
          <w:szCs w:val="26"/>
          <w:rtl/>
        </w:rPr>
        <w:t>ערעור לבי</w:t>
      </w:r>
      <w:r w:rsidR="00406934">
        <w:rPr>
          <w:rFonts w:hint="cs"/>
          <w:color w:val="000000"/>
          <w:sz w:val="26"/>
          <w:szCs w:val="26"/>
          <w:rtl/>
        </w:rPr>
        <w:t xml:space="preserve">ת המשפט העליון נדחה </w:t>
      </w:r>
      <w:proofErr w:type="spellStart"/>
      <w:r w:rsidR="00406934">
        <w:rPr>
          <w:rFonts w:hint="cs"/>
          <w:color w:val="000000"/>
          <w:sz w:val="26"/>
          <w:szCs w:val="26"/>
          <w:rtl/>
        </w:rPr>
        <w:t>ב</w:t>
      </w:r>
      <w:r w:rsidR="00406934" w:rsidRPr="009506A4">
        <w:rPr>
          <w:color w:val="000000"/>
          <w:sz w:val="26"/>
          <w:szCs w:val="26"/>
          <w:rtl/>
        </w:rPr>
        <w:t>עע"מ</w:t>
      </w:r>
      <w:proofErr w:type="spellEnd"/>
      <w:r w:rsidR="00406934" w:rsidRPr="009506A4">
        <w:rPr>
          <w:color w:val="000000"/>
          <w:sz w:val="26"/>
          <w:szCs w:val="26"/>
          <w:rtl/>
        </w:rPr>
        <w:t xml:space="preserve"> 4324/13)</w:t>
      </w:r>
      <w:r w:rsidR="00406934" w:rsidRPr="009506A4">
        <w:rPr>
          <w:rFonts w:hint="cs"/>
          <w:color w:val="000000"/>
          <w:sz w:val="26"/>
          <w:szCs w:val="26"/>
          <w:rtl/>
        </w:rPr>
        <w:t>.</w:t>
      </w:r>
      <w:r w:rsidR="00406934">
        <w:rPr>
          <w:rFonts w:hint="cs"/>
          <w:color w:val="000000"/>
          <w:sz w:val="26"/>
          <w:szCs w:val="26"/>
          <w:rtl/>
        </w:rPr>
        <w:t xml:space="preserve"> בנוסף, ראו בר"מ 7903/20 מדינת ישראל נ' חברת פרחי אורית ועופר בע"מ ואח' [פורסם בנבו] (2020), </w:t>
      </w:r>
      <w:r w:rsidR="00406934" w:rsidRPr="009506A4">
        <w:rPr>
          <w:color w:val="000000"/>
          <w:sz w:val="26"/>
          <w:szCs w:val="26"/>
          <w:rtl/>
        </w:rPr>
        <w:t xml:space="preserve">רע"א 6340/07 עיריית תל אביב נ' </w:t>
      </w:r>
      <w:proofErr w:type="spellStart"/>
      <w:r w:rsidR="00406934" w:rsidRPr="009506A4">
        <w:rPr>
          <w:color w:val="000000"/>
          <w:sz w:val="26"/>
          <w:szCs w:val="26"/>
          <w:rtl/>
        </w:rPr>
        <w:t>טיומקין</w:t>
      </w:r>
      <w:proofErr w:type="spellEnd"/>
      <w:r w:rsidR="00406934" w:rsidRPr="009506A4">
        <w:rPr>
          <w:color w:val="000000"/>
          <w:sz w:val="26"/>
          <w:szCs w:val="26"/>
          <w:rtl/>
        </w:rPr>
        <w:t xml:space="preserve"> [פורסם בנבו] (2011)</w:t>
      </w:r>
      <w:r w:rsidR="00406934" w:rsidRPr="009506A4">
        <w:rPr>
          <w:rFonts w:hint="cs"/>
          <w:color w:val="000000"/>
          <w:sz w:val="26"/>
          <w:szCs w:val="26"/>
          <w:rtl/>
        </w:rPr>
        <w:t xml:space="preserve"> וכן </w:t>
      </w:r>
      <w:proofErr w:type="spellStart"/>
      <w:r w:rsidR="00406934" w:rsidRPr="009506A4">
        <w:rPr>
          <w:color w:val="000000"/>
          <w:sz w:val="26"/>
          <w:szCs w:val="26"/>
          <w:rtl/>
        </w:rPr>
        <w:t>עע"</w:t>
      </w:r>
      <w:r w:rsidR="00406934">
        <w:rPr>
          <w:rFonts w:hint="cs"/>
          <w:color w:val="000000"/>
          <w:sz w:val="26"/>
          <w:szCs w:val="26"/>
          <w:rtl/>
        </w:rPr>
        <w:t>מ</w:t>
      </w:r>
      <w:proofErr w:type="spellEnd"/>
      <w:r w:rsidR="00406934" w:rsidRPr="009506A4">
        <w:rPr>
          <w:color w:val="000000"/>
          <w:sz w:val="26"/>
          <w:szCs w:val="26"/>
          <w:rtl/>
        </w:rPr>
        <w:t xml:space="preserve"> 2395/07 אכדיה נ' מדינת ישראל [פורסם בנבו] (2010)</w:t>
      </w:r>
      <w:r w:rsidR="00406934">
        <w:rPr>
          <w:rFonts w:hint="cs"/>
          <w:color w:val="000000"/>
          <w:sz w:val="26"/>
          <w:szCs w:val="26"/>
          <w:rtl/>
        </w:rPr>
        <w:t>).</w:t>
      </w:r>
    </w:p>
    <w:p w14:paraId="0E450565" w14:textId="05E280BC" w:rsidR="00B1463D" w:rsidRPr="0014544C" w:rsidRDefault="00B1463D" w:rsidP="00B1463D">
      <w:pPr>
        <w:tabs>
          <w:tab w:val="left" w:pos="1020"/>
        </w:tabs>
        <w:autoSpaceDE w:val="0"/>
        <w:autoSpaceDN w:val="0"/>
        <w:adjustRightInd w:val="0"/>
        <w:snapToGrid w:val="0"/>
        <w:ind w:left="0"/>
        <w:contextualSpacing w:val="0"/>
        <w:textAlignment w:val="center"/>
        <w:rPr>
          <w:color w:val="000000"/>
          <w:sz w:val="26"/>
          <w:szCs w:val="26"/>
          <w:rtl/>
        </w:rPr>
      </w:pPr>
      <w:r>
        <w:rPr>
          <w:rFonts w:hint="cs"/>
          <w:sz w:val="26"/>
          <w:szCs w:val="26"/>
          <w:rtl/>
        </w:rPr>
        <w:t xml:space="preserve">גם ביחס לרשות מוצע לקבוע כי </w:t>
      </w:r>
      <w:r>
        <w:rPr>
          <w:rFonts w:hint="cs"/>
          <w:color w:val="000000"/>
          <w:sz w:val="26"/>
          <w:szCs w:val="26"/>
          <w:rtl/>
        </w:rPr>
        <w:t xml:space="preserve">חובת הפניה המוקדמת לגבי אותו ענין תיערך ביחס לפונה הראשון בלבד. </w:t>
      </w:r>
    </w:p>
    <w:p w14:paraId="68D469FE" w14:textId="6212ACB6" w:rsidR="00BC68FA" w:rsidRDefault="00B1463D" w:rsidP="00BC68FA">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עוד </w:t>
      </w:r>
      <w:r w:rsidR="00BC68FA">
        <w:rPr>
          <w:rFonts w:hint="cs"/>
          <w:sz w:val="26"/>
          <w:szCs w:val="26"/>
          <w:rtl/>
        </w:rPr>
        <w:t xml:space="preserve">מוצע </w:t>
      </w:r>
      <w:r w:rsidR="00BC68FA">
        <w:rPr>
          <w:rFonts w:hint="cs"/>
          <w:color w:val="000000"/>
          <w:sz w:val="26"/>
          <w:szCs w:val="26"/>
          <w:rtl/>
        </w:rPr>
        <w:t xml:space="preserve">לקבוע חובת התקנת תקנות בעניין מנגנון הפניה המוקדמת. יצוין כי גם בפניה המוקדמת לרשות </w:t>
      </w:r>
      <w:r w:rsidR="00BC68FA" w:rsidRPr="00024D74">
        <w:rPr>
          <w:color w:val="000000"/>
          <w:sz w:val="26"/>
          <w:szCs w:val="26"/>
          <w:rtl/>
        </w:rPr>
        <w:t>נ</w:t>
      </w:r>
      <w:r w:rsidR="00BC68FA" w:rsidRPr="00024D74">
        <w:rPr>
          <w:rFonts w:hint="cs"/>
          <w:color w:val="000000"/>
          <w:sz w:val="26"/>
          <w:szCs w:val="26"/>
          <w:rtl/>
        </w:rPr>
        <w:t>בחנת האפשרות להקים מערכת דיגיטלית לטיפול בפניות</w:t>
      </w:r>
      <w:r w:rsidR="00D5560B">
        <w:rPr>
          <w:rFonts w:hint="cs"/>
          <w:color w:val="000000"/>
          <w:sz w:val="26"/>
          <w:szCs w:val="26"/>
          <w:rtl/>
        </w:rPr>
        <w:t xml:space="preserve"> ובפרסומן וכן נשקלת האפשרות לחייב את פרסום הפנייה באתר הרשות</w:t>
      </w:r>
      <w:r w:rsidR="00BC68FA">
        <w:rPr>
          <w:rFonts w:hint="cs"/>
          <w:color w:val="000000"/>
          <w:sz w:val="26"/>
          <w:szCs w:val="26"/>
          <w:rtl/>
        </w:rPr>
        <w:t>.</w:t>
      </w:r>
    </w:p>
    <w:p w14:paraId="418ED8CB" w14:textId="1BEF10AE" w:rsidR="004F524C" w:rsidRPr="0082273B" w:rsidRDefault="004F524C" w:rsidP="004F524C">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כאמור לעיל, </w:t>
      </w:r>
      <w:r w:rsidRPr="000B7A40">
        <w:rPr>
          <w:color w:val="000000"/>
          <w:sz w:val="26"/>
          <w:szCs w:val="26"/>
          <w:rtl/>
        </w:rPr>
        <w:t xml:space="preserve">בתקופה מסוימת חלה חובה לערוך פניה מוקדמת בתביעה לפי פרט 11, בהתאם לפסק הדין </w:t>
      </w:r>
      <w:r>
        <w:rPr>
          <w:rFonts w:hint="cs"/>
          <w:color w:val="000000"/>
          <w:sz w:val="26"/>
          <w:szCs w:val="26"/>
          <w:rtl/>
        </w:rPr>
        <w:t>ב</w:t>
      </w:r>
      <w:r w:rsidRPr="000B7A40">
        <w:rPr>
          <w:color w:val="000000"/>
          <w:sz w:val="26"/>
          <w:szCs w:val="26"/>
          <w:rtl/>
        </w:rPr>
        <w:t>ערעור בעניין מי הגליל</w:t>
      </w:r>
      <w:r>
        <w:rPr>
          <w:rFonts w:hint="cs"/>
          <w:color w:val="000000"/>
          <w:sz w:val="26"/>
          <w:szCs w:val="26"/>
          <w:rtl/>
        </w:rPr>
        <w:t>. לאור האמור, ומכיוון שביחס לתביעה כאמור לא מדובר במנגנון חדשני</w:t>
      </w:r>
      <w:r w:rsidR="00D5560B">
        <w:rPr>
          <w:rFonts w:hint="cs"/>
          <w:color w:val="000000"/>
          <w:sz w:val="26"/>
          <w:szCs w:val="26"/>
          <w:rtl/>
        </w:rPr>
        <w:t xml:space="preserve"> אלא במוסד מושרש במשפט המנהלי (וכאמור מדובר ב-"תובענה מנהלית" כהגדרתה בחוק)</w:t>
      </w:r>
      <w:r>
        <w:rPr>
          <w:rFonts w:hint="cs"/>
          <w:color w:val="000000"/>
          <w:sz w:val="26"/>
          <w:szCs w:val="26"/>
          <w:rtl/>
        </w:rPr>
        <w:t>, מנגנון זה ייקבע באופן קבוע ולא בהוראת שעה.</w:t>
      </w:r>
    </w:p>
    <w:p w14:paraId="6C07A4EB" w14:textId="29D623D0" w:rsidR="00BC68FA" w:rsidRDefault="00BC68FA" w:rsidP="00BC68FA">
      <w:pPr>
        <w:tabs>
          <w:tab w:val="left" w:pos="1020"/>
        </w:tabs>
        <w:autoSpaceDE w:val="0"/>
        <w:autoSpaceDN w:val="0"/>
        <w:adjustRightInd w:val="0"/>
        <w:snapToGrid w:val="0"/>
        <w:ind w:left="0"/>
        <w:contextualSpacing w:val="0"/>
        <w:textAlignment w:val="center"/>
        <w:rPr>
          <w:sz w:val="26"/>
          <w:szCs w:val="26"/>
          <w:rtl/>
        </w:rPr>
      </w:pPr>
    </w:p>
    <w:p w14:paraId="0B8B92F9" w14:textId="77777777" w:rsidR="001359A4" w:rsidRDefault="0057339A" w:rsidP="00366E6C">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b/>
          <w:bCs/>
          <w:color w:val="000000"/>
          <w:sz w:val="26"/>
          <w:szCs w:val="26"/>
          <w:rtl/>
        </w:rPr>
        <w:t xml:space="preserve">סעיף </w:t>
      </w:r>
      <w:r>
        <w:rPr>
          <w:rFonts w:hint="cs"/>
          <w:b/>
          <w:bCs/>
          <w:color w:val="000000"/>
          <w:sz w:val="26"/>
          <w:szCs w:val="26"/>
          <w:rtl/>
        </w:rPr>
        <w:t>4</w:t>
      </w:r>
    </w:p>
    <w:p w14:paraId="5A611DB7" w14:textId="2A5EC90F" w:rsidR="00806C1B" w:rsidRDefault="005F477E" w:rsidP="00366E6C">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מוצע להוסיף את </w:t>
      </w:r>
      <w:r w:rsidRPr="00F32692">
        <w:rPr>
          <w:rFonts w:hint="cs"/>
          <w:color w:val="000000"/>
          <w:sz w:val="26"/>
          <w:szCs w:val="26"/>
          <w:rtl/>
        </w:rPr>
        <w:t xml:space="preserve">סעיף </w:t>
      </w:r>
      <w:r w:rsidR="00B1463D" w:rsidRPr="00F32692">
        <w:rPr>
          <w:color w:val="000000"/>
          <w:sz w:val="26"/>
          <w:szCs w:val="26"/>
          <w:rtl/>
        </w:rPr>
        <w:t>3</w:t>
      </w:r>
      <w:r w:rsidR="00B1463D" w:rsidRPr="00F32692">
        <w:rPr>
          <w:rFonts w:hint="eastAsia"/>
          <w:color w:val="000000"/>
          <w:sz w:val="26"/>
          <w:szCs w:val="26"/>
          <w:rtl/>
        </w:rPr>
        <w:t>ג</w:t>
      </w:r>
      <w:r w:rsidR="00B1463D" w:rsidRPr="00F32692">
        <w:rPr>
          <w:rFonts w:hint="cs"/>
          <w:color w:val="000000"/>
          <w:sz w:val="26"/>
          <w:szCs w:val="26"/>
          <w:rtl/>
        </w:rPr>
        <w:t xml:space="preserve"> </w:t>
      </w:r>
      <w:r w:rsidRPr="00F32692">
        <w:rPr>
          <w:rFonts w:hint="cs"/>
          <w:color w:val="000000"/>
          <w:sz w:val="26"/>
          <w:szCs w:val="26"/>
          <w:rtl/>
        </w:rPr>
        <w:t>שעניינו ב</w:t>
      </w:r>
      <w:r>
        <w:rPr>
          <w:rFonts w:hint="cs"/>
          <w:color w:val="000000"/>
          <w:sz w:val="26"/>
          <w:szCs w:val="26"/>
          <w:rtl/>
        </w:rPr>
        <w:t xml:space="preserve">תביעות </w:t>
      </w:r>
      <w:r w:rsidR="00F567C5">
        <w:rPr>
          <w:rFonts w:hint="cs"/>
          <w:color w:val="000000"/>
          <w:sz w:val="26"/>
          <w:szCs w:val="26"/>
          <w:rtl/>
        </w:rPr>
        <w:t>קנטרניות או טרדניות</w:t>
      </w:r>
      <w:r>
        <w:rPr>
          <w:rFonts w:hint="cs"/>
          <w:color w:val="000000"/>
          <w:sz w:val="26"/>
          <w:szCs w:val="26"/>
          <w:rtl/>
        </w:rPr>
        <w:t xml:space="preserve">. </w:t>
      </w:r>
    </w:p>
    <w:p w14:paraId="42291281" w14:textId="761BE4FC" w:rsidR="003C06DB" w:rsidRDefault="00B14E27" w:rsidP="00143BFE">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מעבר לקושי הקיים בכך שבקשות לאישור רבות מתמקדות רק בהסדרה עתידית ואינן מתאימות להתנהל כתובענות ייצוגיות לפיצויים, קיים גם קושי נוסף הנוגע </w:t>
      </w:r>
      <w:r w:rsidR="00C57EB2">
        <w:rPr>
          <w:rFonts w:hint="cs"/>
          <w:color w:val="000000"/>
          <w:sz w:val="26"/>
          <w:szCs w:val="26"/>
          <w:rtl/>
        </w:rPr>
        <w:t xml:space="preserve">לתובענות ייצוגיות </w:t>
      </w:r>
      <w:r w:rsidR="003C06DB">
        <w:rPr>
          <w:rFonts w:hint="cs"/>
          <w:color w:val="000000"/>
          <w:sz w:val="26"/>
          <w:szCs w:val="26"/>
          <w:rtl/>
        </w:rPr>
        <w:t xml:space="preserve">טרדניות או קנטרניות כאשר </w:t>
      </w:r>
      <w:r w:rsidR="00C57EB2">
        <w:rPr>
          <w:rFonts w:hint="cs"/>
          <w:color w:val="000000"/>
          <w:sz w:val="26"/>
          <w:szCs w:val="26"/>
          <w:rtl/>
        </w:rPr>
        <w:t>נראה שהנזק</w:t>
      </w:r>
      <w:r w:rsidR="003C06DB">
        <w:rPr>
          <w:rFonts w:hint="cs"/>
          <w:color w:val="000000"/>
          <w:sz w:val="26"/>
          <w:szCs w:val="26"/>
          <w:rtl/>
        </w:rPr>
        <w:t xml:space="preserve"> לחברי הקבוצה</w:t>
      </w:r>
      <w:r w:rsidR="00C57EB2">
        <w:rPr>
          <w:rFonts w:hint="cs"/>
          <w:color w:val="000000"/>
          <w:sz w:val="26"/>
          <w:szCs w:val="26"/>
          <w:rtl/>
        </w:rPr>
        <w:t>, אם נגרם, הוא מזערי</w:t>
      </w:r>
      <w:r w:rsidR="003C06DB">
        <w:rPr>
          <w:rFonts w:hint="cs"/>
          <w:color w:val="000000"/>
          <w:sz w:val="26"/>
          <w:szCs w:val="26"/>
          <w:rtl/>
        </w:rPr>
        <w:t xml:space="preserve">. </w:t>
      </w:r>
    </w:p>
    <w:p w14:paraId="0562CD16" w14:textId="77777777" w:rsidR="009B77CE" w:rsidRDefault="0035284A" w:rsidP="00B64642">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זאת,</w:t>
      </w:r>
      <w:r w:rsidR="00C57EB2">
        <w:rPr>
          <w:rFonts w:hint="cs"/>
          <w:color w:val="000000"/>
          <w:sz w:val="26"/>
          <w:szCs w:val="26"/>
          <w:rtl/>
        </w:rPr>
        <w:t xml:space="preserve"> אפילו בהקשר של תובענות ייצוגיות שמטרתן, בין היתר, לפצות עבור נזק שלא מצדיק הגשת תביעה אישית</w:t>
      </w:r>
      <w:r>
        <w:rPr>
          <w:rFonts w:hint="cs"/>
          <w:color w:val="000000"/>
          <w:sz w:val="26"/>
          <w:szCs w:val="26"/>
          <w:rtl/>
        </w:rPr>
        <w:t xml:space="preserve"> על ידי יחיד</w:t>
      </w:r>
      <w:r w:rsidR="00C57EB2">
        <w:rPr>
          <w:rFonts w:hint="cs"/>
          <w:color w:val="000000"/>
          <w:sz w:val="26"/>
          <w:szCs w:val="26"/>
          <w:rtl/>
        </w:rPr>
        <w:t xml:space="preserve">. </w:t>
      </w:r>
      <w:r w:rsidR="00366E6C">
        <w:rPr>
          <w:rFonts w:hint="cs"/>
          <w:color w:val="000000"/>
          <w:sz w:val="26"/>
          <w:szCs w:val="26"/>
          <w:rtl/>
        </w:rPr>
        <w:t>קיימות תביעות המוגשות בנושאים פעוטים וקלי ערך אשר אינם מצדיקים הגש</w:t>
      </w:r>
      <w:r w:rsidR="00806C1B">
        <w:rPr>
          <w:rFonts w:hint="cs"/>
          <w:color w:val="000000"/>
          <w:sz w:val="26"/>
          <w:szCs w:val="26"/>
          <w:rtl/>
        </w:rPr>
        <w:t>ה של</w:t>
      </w:r>
      <w:r w:rsidR="00366E6C">
        <w:rPr>
          <w:rFonts w:hint="cs"/>
          <w:color w:val="000000"/>
          <w:sz w:val="26"/>
          <w:szCs w:val="26"/>
          <w:rtl/>
        </w:rPr>
        <w:t xml:space="preserve"> תובענה ייצוגית. תביעות אלו מוגשות בעיקר במקרים של נזק לא ממוני של פגיעה שאינה משמעותית </w:t>
      </w:r>
      <w:r w:rsidR="00366E6C" w:rsidRPr="00AF456E">
        <w:rPr>
          <w:rFonts w:hint="cs"/>
          <w:color w:val="000000"/>
          <w:sz w:val="26"/>
          <w:szCs w:val="26"/>
          <w:rtl/>
        </w:rPr>
        <w:t xml:space="preserve">באוטונומיה והן מכבידות על הערכאות השיפוטיות, מביאות להקצאת משאבים לא יעילה ופוגעות בכלי התובענה הייצוגית ונראה שכל מטרתן היא בקבלת גמול ושכר טרחה. מדובר כאמור על מקרים שבהם </w:t>
      </w:r>
      <w:r w:rsidR="00806C1B" w:rsidRPr="00AF456E">
        <w:rPr>
          <w:rFonts w:hint="cs"/>
          <w:color w:val="000000"/>
          <w:sz w:val="26"/>
          <w:szCs w:val="26"/>
          <w:rtl/>
        </w:rPr>
        <w:t xml:space="preserve">מדובר </w:t>
      </w:r>
      <w:r w:rsidR="002D6790">
        <w:rPr>
          <w:rFonts w:hint="cs"/>
          <w:color w:val="000000"/>
          <w:sz w:val="26"/>
          <w:szCs w:val="26"/>
          <w:rtl/>
        </w:rPr>
        <w:t>בתביעות שאין בהן עניין ציבורי</w:t>
      </w:r>
      <w:r w:rsidR="00EF1EDA">
        <w:rPr>
          <w:rFonts w:hint="cs"/>
          <w:color w:val="000000"/>
          <w:sz w:val="26"/>
          <w:szCs w:val="26"/>
          <w:rtl/>
        </w:rPr>
        <w:t xml:space="preserve"> </w:t>
      </w:r>
      <w:r w:rsidR="00806C1B" w:rsidRPr="00AF456E">
        <w:rPr>
          <w:rFonts w:hint="cs"/>
          <w:color w:val="000000"/>
          <w:sz w:val="26"/>
          <w:szCs w:val="26"/>
          <w:rtl/>
        </w:rPr>
        <w:t xml:space="preserve">כאשר </w:t>
      </w:r>
      <w:r w:rsidR="00366E6C" w:rsidRPr="00AF456E">
        <w:rPr>
          <w:rFonts w:hint="cs"/>
          <w:color w:val="000000"/>
          <w:sz w:val="26"/>
          <w:szCs w:val="26"/>
          <w:rtl/>
        </w:rPr>
        <w:t>אין ממש פגיעה בחברי הקבוצה או שהפגיעה היא מזערית מאוד, כך ששימוש בכלי</w:t>
      </w:r>
      <w:r w:rsidR="00366E6C">
        <w:rPr>
          <w:rFonts w:hint="cs"/>
          <w:color w:val="000000"/>
          <w:sz w:val="26"/>
          <w:szCs w:val="26"/>
          <w:rtl/>
        </w:rPr>
        <w:t xml:space="preserve"> התובענה הייצוגית במקרים אלו לא מביא בסופו של דבר למימוש תכליות חוק תובענות ייצוגיות, אלא דווקא לפגיעה בהן. </w:t>
      </w:r>
      <w:r w:rsidR="003C06DB">
        <w:rPr>
          <w:rFonts w:hint="cs"/>
          <w:color w:val="000000"/>
          <w:sz w:val="26"/>
          <w:szCs w:val="26"/>
          <w:rtl/>
        </w:rPr>
        <w:t xml:space="preserve">כך </w:t>
      </w:r>
      <w:r w:rsidR="00A1610B">
        <w:rPr>
          <w:rFonts w:hint="cs"/>
          <w:color w:val="000000"/>
          <w:sz w:val="26"/>
          <w:szCs w:val="26"/>
          <w:rtl/>
        </w:rPr>
        <w:t>למשל</w:t>
      </w:r>
      <w:r w:rsidR="003C06DB">
        <w:rPr>
          <w:rFonts w:hint="cs"/>
          <w:color w:val="000000"/>
          <w:sz w:val="26"/>
          <w:szCs w:val="26"/>
          <w:rtl/>
        </w:rPr>
        <w:t>,</w:t>
      </w:r>
      <w:r w:rsidR="00A1610B">
        <w:rPr>
          <w:rFonts w:hint="cs"/>
          <w:color w:val="000000"/>
          <w:sz w:val="26"/>
          <w:szCs w:val="26"/>
          <w:rtl/>
        </w:rPr>
        <w:t xml:space="preserve"> </w:t>
      </w:r>
      <w:r w:rsidR="009B77CE">
        <w:rPr>
          <w:rFonts w:hint="cs"/>
          <w:color w:val="000000"/>
          <w:sz w:val="26"/>
          <w:szCs w:val="26"/>
          <w:rtl/>
        </w:rPr>
        <w:t xml:space="preserve">תובענה ייצוגית שהוגשה בטענה כי נדרש לצרף הוראות שימוש על מוצר של דבק סטיק. דוגמא נוספת היא </w:t>
      </w:r>
      <w:r w:rsidR="00A1610B">
        <w:rPr>
          <w:rFonts w:hint="cs"/>
          <w:color w:val="000000"/>
          <w:sz w:val="26"/>
          <w:szCs w:val="26"/>
          <w:rtl/>
        </w:rPr>
        <w:t>תובענה ייצוגית שהוגשה בטענה כי במעדן חלב שאריזתו הייתה שקופה כך שניתן לראות מה המוצר מכיל, הצרכנים הוטעו לחשוב שהמוצר מכיל אגוזים שלמים (ולא שברי אגוזים), זאת לאור הצבת תמונה של אגוזים שלמים על גבי האריזה.</w:t>
      </w:r>
      <w:r w:rsidR="00A1610B" w:rsidRPr="00A1610B">
        <w:rPr>
          <w:rFonts w:hint="cs"/>
          <w:color w:val="000000"/>
          <w:sz w:val="26"/>
          <w:szCs w:val="26"/>
          <w:rtl/>
        </w:rPr>
        <w:t xml:space="preserve"> </w:t>
      </w:r>
      <w:r w:rsidR="00A1610B">
        <w:rPr>
          <w:rFonts w:hint="cs"/>
          <w:color w:val="000000"/>
          <w:sz w:val="26"/>
          <w:szCs w:val="26"/>
          <w:rtl/>
        </w:rPr>
        <w:t>כן נטען כי הצרכנים הוטעו לחשוב כי אריזת המוצר מכילה כמות גדולה יותר של אגוזים ואף חשבו שהמרכיב העיקרי של המוצר הינו אגוזים. זאת,</w:t>
      </w:r>
      <w:r w:rsidR="00A1610B" w:rsidRPr="00A1610B">
        <w:rPr>
          <w:rFonts w:hint="cs"/>
          <w:color w:val="000000"/>
          <w:sz w:val="26"/>
          <w:szCs w:val="26"/>
          <w:rtl/>
        </w:rPr>
        <w:t xml:space="preserve"> </w:t>
      </w:r>
      <w:r w:rsidR="00A1610B">
        <w:rPr>
          <w:rFonts w:hint="cs"/>
          <w:color w:val="000000"/>
          <w:sz w:val="26"/>
          <w:szCs w:val="26"/>
          <w:rtl/>
        </w:rPr>
        <w:t xml:space="preserve">לאור התייחסות בשם המוצר לאגוזים. דוגמא נוספת היא תובענה ייצוגית שהוגשה בטענה כי מוצר שניצל שווק לצרכנים כמכיל מאה אחוז עוף, וזאת על אף שהשניצל מכיל גם פירורי לחם וביצים ולכן לא מדובר במאה אחוז עוף. </w:t>
      </w:r>
    </w:p>
    <w:p w14:paraId="6D7E31D7" w14:textId="2CD65779" w:rsidR="0012148D" w:rsidRDefault="005F3E0E" w:rsidP="00B64642">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כידוע, ב</w:t>
      </w:r>
      <w:r w:rsidRPr="005F3E0E">
        <w:rPr>
          <w:color w:val="000000"/>
          <w:sz w:val="26"/>
          <w:szCs w:val="26"/>
          <w:rtl/>
        </w:rPr>
        <w:t xml:space="preserve">דנ"א 4960/18 שולמית </w:t>
      </w:r>
      <w:proofErr w:type="spellStart"/>
      <w:r w:rsidRPr="005F3E0E">
        <w:rPr>
          <w:color w:val="000000"/>
          <w:sz w:val="26"/>
          <w:szCs w:val="26"/>
          <w:rtl/>
        </w:rPr>
        <w:t>זליגמן</w:t>
      </w:r>
      <w:proofErr w:type="spellEnd"/>
      <w:r w:rsidRPr="005F3E0E">
        <w:rPr>
          <w:color w:val="000000"/>
          <w:sz w:val="26"/>
          <w:szCs w:val="26"/>
          <w:rtl/>
        </w:rPr>
        <w:t xml:space="preserve"> נ' הפניקס חברה לביטוח בע"מ </w:t>
      </w:r>
      <w:r>
        <w:rPr>
          <w:rFonts w:hint="cs"/>
          <w:color w:val="000000"/>
          <w:sz w:val="26"/>
          <w:szCs w:val="26"/>
          <w:rtl/>
        </w:rPr>
        <w:t>(</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Pr="005F3E0E">
        <w:rPr>
          <w:color w:val="000000"/>
          <w:sz w:val="26"/>
          <w:szCs w:val="26"/>
          <w:rtl/>
        </w:rPr>
        <w:t xml:space="preserve"> 04.07.2021</w:t>
      </w:r>
      <w:r>
        <w:rPr>
          <w:rFonts w:hint="cs"/>
          <w:color w:val="000000"/>
          <w:sz w:val="26"/>
          <w:szCs w:val="26"/>
          <w:rtl/>
        </w:rPr>
        <w:t>) נקבע כי הגנת זוטי דברים לא חלה בתובענות ייצוגיות</w:t>
      </w:r>
      <w:r w:rsidR="00AB2AAA">
        <w:rPr>
          <w:rFonts w:hint="cs"/>
          <w:color w:val="000000"/>
          <w:sz w:val="26"/>
          <w:szCs w:val="26"/>
          <w:rtl/>
        </w:rPr>
        <w:t xml:space="preserve"> </w:t>
      </w:r>
      <w:r w:rsidR="00806C1B">
        <w:rPr>
          <w:rFonts w:hint="cs"/>
          <w:color w:val="000000"/>
          <w:sz w:val="26"/>
          <w:szCs w:val="26"/>
          <w:rtl/>
        </w:rPr>
        <w:t xml:space="preserve">זאת </w:t>
      </w:r>
      <w:r w:rsidR="00DE7DF0">
        <w:rPr>
          <w:rFonts w:hint="cs"/>
          <w:color w:val="000000"/>
          <w:sz w:val="26"/>
          <w:szCs w:val="26"/>
          <w:rtl/>
        </w:rPr>
        <w:t xml:space="preserve">בעיקר </w:t>
      </w:r>
      <w:r w:rsidR="003C5BB9">
        <w:rPr>
          <w:rFonts w:hint="cs"/>
          <w:color w:val="000000"/>
          <w:sz w:val="26"/>
          <w:szCs w:val="26"/>
          <w:rtl/>
        </w:rPr>
        <w:t xml:space="preserve">מהטעם שבחוק תובענות ייצוגיות עצמו ניתן להידרש להגנה זו באמצעות התנאי הקבוע בסעיף 8(א)(2) שעניינו בכך שהתובענה הייצוגית </w:t>
      </w:r>
      <w:r w:rsidR="00C57EB2">
        <w:rPr>
          <w:rFonts w:hint="cs"/>
          <w:color w:val="000000"/>
          <w:sz w:val="26"/>
          <w:szCs w:val="26"/>
          <w:rtl/>
        </w:rPr>
        <w:t>אינה</w:t>
      </w:r>
      <w:r w:rsidR="003C5BB9">
        <w:rPr>
          <w:rFonts w:hint="cs"/>
          <w:color w:val="000000"/>
          <w:sz w:val="26"/>
          <w:szCs w:val="26"/>
          <w:rtl/>
        </w:rPr>
        <w:t xml:space="preserve"> הדרך </w:t>
      </w:r>
      <w:r w:rsidR="003C5BB9">
        <w:rPr>
          <w:rFonts w:hint="cs"/>
          <w:color w:val="000000"/>
          <w:sz w:val="26"/>
          <w:szCs w:val="26"/>
          <w:rtl/>
        </w:rPr>
        <w:lastRenderedPageBreak/>
        <w:t xml:space="preserve">היעילה וההוגנת להכרעה במחלוקת בנסיבות העניין. </w:t>
      </w:r>
      <w:r w:rsidR="00366E6C">
        <w:rPr>
          <w:rFonts w:hint="cs"/>
          <w:color w:val="000000"/>
          <w:sz w:val="26"/>
          <w:szCs w:val="26"/>
          <w:rtl/>
        </w:rPr>
        <w:t>עם זאת,</w:t>
      </w:r>
      <w:r w:rsidR="00806C1B">
        <w:rPr>
          <w:rFonts w:hint="cs"/>
          <w:color w:val="000000"/>
          <w:sz w:val="26"/>
          <w:szCs w:val="26"/>
          <w:rtl/>
        </w:rPr>
        <w:t xml:space="preserve"> כפי שצוין לעיל,</w:t>
      </w:r>
      <w:r w:rsidR="00366E6C">
        <w:rPr>
          <w:rFonts w:hint="cs"/>
          <w:color w:val="000000"/>
          <w:sz w:val="26"/>
          <w:szCs w:val="26"/>
          <w:rtl/>
        </w:rPr>
        <w:t xml:space="preserve"> קיימים מקרים שבהם הנזק המצטבר שנגרם לחברי הקבוצה הוא זניח</w:t>
      </w:r>
      <w:r w:rsidR="00806C1B">
        <w:rPr>
          <w:rFonts w:hint="cs"/>
          <w:color w:val="000000"/>
          <w:sz w:val="26"/>
          <w:szCs w:val="26"/>
          <w:rtl/>
        </w:rPr>
        <w:t xml:space="preserve">. </w:t>
      </w:r>
      <w:r w:rsidR="00366E6C">
        <w:rPr>
          <w:rFonts w:hint="cs"/>
          <w:color w:val="000000"/>
          <w:sz w:val="26"/>
          <w:szCs w:val="26"/>
          <w:rtl/>
        </w:rPr>
        <w:t xml:space="preserve">במקרים אלו נראה שאין מקום לנהל את ההליך עד לשלב אישור התובענה רק כדי לדחותה מן הטעם שמדובר בזוטי דברים, זאת הן מכיוון שככלל כידוע ממילא רוב ההליכים מסתיימים לפני שלב אישור התובענה והן מכיוון שככל שברור על פני הדברים שמדובר </w:t>
      </w:r>
      <w:r w:rsidR="009B77CE">
        <w:rPr>
          <w:rFonts w:hint="cs"/>
          <w:color w:val="000000"/>
          <w:sz w:val="26"/>
          <w:szCs w:val="26"/>
          <w:rtl/>
        </w:rPr>
        <w:t>בתביעה קנטרנית או טורדנית, שאין בה עניין ציבורי</w:t>
      </w:r>
      <w:r w:rsidR="00366E6C">
        <w:rPr>
          <w:rFonts w:hint="cs"/>
          <w:color w:val="000000"/>
          <w:sz w:val="26"/>
          <w:szCs w:val="26"/>
          <w:rtl/>
        </w:rPr>
        <w:t>, לא יהיה זה הוגן ויעיל לנהל את כלל ההליך עד אישור הבקשה, רק על מנת לדחותה מן הטעם הזה.</w:t>
      </w:r>
      <w:r w:rsidR="00806C1B">
        <w:rPr>
          <w:rFonts w:hint="cs"/>
          <w:color w:val="000000"/>
          <w:sz w:val="26"/>
          <w:szCs w:val="26"/>
          <w:rtl/>
        </w:rPr>
        <w:t xml:space="preserve"> לאור האמור לעיל, מוצע לקבוע כי במקרה שבו בית המשפט מצא כי הבקשה לאישור הוגשה </w:t>
      </w:r>
      <w:r w:rsidR="00806C1B" w:rsidRPr="0014544C">
        <w:rPr>
          <w:rFonts w:hint="cs"/>
          <w:color w:val="000000"/>
          <w:sz w:val="26"/>
          <w:szCs w:val="26"/>
          <w:rtl/>
        </w:rPr>
        <w:t>בעניין שגרם לפגיעה מזערית בחבר הקבוצה</w:t>
      </w:r>
      <w:r w:rsidR="00143BFE">
        <w:rPr>
          <w:rFonts w:hint="cs"/>
          <w:color w:val="000000"/>
          <w:sz w:val="26"/>
          <w:szCs w:val="26"/>
          <w:rtl/>
        </w:rPr>
        <w:t xml:space="preserve"> ונסיבות העניין אינן מצדיקות ניהול תובענה ייצוגית</w:t>
      </w:r>
      <w:r w:rsidR="003C06DB">
        <w:rPr>
          <w:rFonts w:hint="cs"/>
          <w:color w:val="000000"/>
          <w:sz w:val="26"/>
          <w:szCs w:val="26"/>
          <w:rtl/>
        </w:rPr>
        <w:t xml:space="preserve"> שכן התובענה היא קנטרנית או טורדנית</w:t>
      </w:r>
      <w:r w:rsidR="00806C1B" w:rsidRPr="0014544C">
        <w:rPr>
          <w:rFonts w:hint="cs"/>
          <w:color w:val="000000"/>
          <w:sz w:val="26"/>
          <w:szCs w:val="26"/>
          <w:rtl/>
        </w:rPr>
        <w:t xml:space="preserve">, </w:t>
      </w:r>
      <w:r w:rsidR="00806C1B">
        <w:rPr>
          <w:rFonts w:hint="cs"/>
          <w:color w:val="000000"/>
          <w:sz w:val="26"/>
          <w:szCs w:val="26"/>
          <w:rtl/>
        </w:rPr>
        <w:t xml:space="preserve">הוא רשאי להורות על מחיקת הבקשה בכל עת, וגם בטרם נוהל שלב אישור התובענה כייצוגית. </w:t>
      </w:r>
      <w:r w:rsidR="00B64642">
        <w:rPr>
          <w:rFonts w:hint="cs"/>
          <w:color w:val="000000"/>
          <w:sz w:val="26"/>
          <w:szCs w:val="26"/>
          <w:rtl/>
        </w:rPr>
        <w:t>להשוואה, ראו סעיף 41(א)(2) לתקנות סדר הדין האזרחי</w:t>
      </w:r>
      <w:r w:rsidR="00BB67B5">
        <w:rPr>
          <w:rFonts w:hint="cs"/>
          <w:color w:val="000000"/>
          <w:sz w:val="26"/>
          <w:szCs w:val="26"/>
          <w:rtl/>
        </w:rPr>
        <w:t>, תשע"ט-2018</w:t>
      </w:r>
      <w:r w:rsidR="00B64642">
        <w:rPr>
          <w:rFonts w:hint="cs"/>
          <w:color w:val="000000"/>
          <w:sz w:val="26"/>
          <w:szCs w:val="26"/>
          <w:rtl/>
        </w:rPr>
        <w:t xml:space="preserve"> לפיו בית המשפט רשאי להורות על מחיקת כתב תביעה בכל עת, בין היתר, על יסוד כך שמכתב התביעה עולה כי התביעה היא טרדנית או קנטרנית. </w:t>
      </w:r>
      <w:r w:rsidR="00143BFE">
        <w:rPr>
          <w:rFonts w:hint="cs"/>
          <w:color w:val="000000"/>
          <w:sz w:val="26"/>
          <w:szCs w:val="26"/>
          <w:rtl/>
        </w:rPr>
        <w:t>יודגש כי כאמור מדובר במקרים שבהם נסיבות העניין אינן מצדיקות ניהול תובענה ייצוגית וזאת לאור החשיבות הציבורית המוגבלת של התביעה</w:t>
      </w:r>
      <w:r w:rsidR="002D6790">
        <w:rPr>
          <w:rFonts w:hint="cs"/>
          <w:color w:val="000000"/>
          <w:sz w:val="26"/>
          <w:szCs w:val="26"/>
          <w:rtl/>
        </w:rPr>
        <w:t xml:space="preserve"> שמביאה לכך שאין בתביעות אלו עניין ציבורי.</w:t>
      </w:r>
      <w:r w:rsidR="00143BFE">
        <w:rPr>
          <w:rFonts w:hint="cs"/>
          <w:color w:val="000000"/>
          <w:sz w:val="26"/>
          <w:szCs w:val="26"/>
          <w:rtl/>
        </w:rPr>
        <w:t xml:space="preserve"> כלומר אין מדובר במקרים של גביית כספים שלא כדין על סכומים מזעריים. במקרים אלו, גם אם הסכום שנגבה מכל</w:t>
      </w:r>
      <w:r w:rsidR="001C5BD0">
        <w:rPr>
          <w:rFonts w:hint="cs"/>
          <w:color w:val="000000"/>
          <w:sz w:val="26"/>
          <w:szCs w:val="26"/>
          <w:rtl/>
        </w:rPr>
        <w:t xml:space="preserve"> </w:t>
      </w:r>
      <w:r w:rsidR="00143BFE">
        <w:rPr>
          <w:rFonts w:hint="cs"/>
          <w:color w:val="000000"/>
          <w:sz w:val="26"/>
          <w:szCs w:val="26"/>
          <w:rtl/>
        </w:rPr>
        <w:t>חבר קבוצה הוא מזערי, ברי כי קיימת חשיבות ציבורית בתביעה בנושאים אלו ולשם כך, בין היתר, נועד כלי התובענה הייצוגית כאמור (הגשת תביעות במקרים שבהם אין</w:t>
      </w:r>
      <w:r w:rsidR="00E75D48">
        <w:rPr>
          <w:rFonts w:hint="cs"/>
          <w:color w:val="000000"/>
          <w:sz w:val="26"/>
          <w:szCs w:val="26"/>
          <w:rtl/>
        </w:rPr>
        <w:t xml:space="preserve"> הצדקה להגשת תביעה אישית). מדובר על עוד כלי שיהיה בידי בתי המשפט ושיאפשר להם שיקול דעת במקרים המתאימים לסלק את התביעה על הסף, כאשר נראה שהתביעה הוגשה בנושא שאין בו חשיבות ציבורית ושהתביעה היא קנטרנית ונראה שמטרתה אינה באמת להביא לתועלת ממשית לחברי הקבוצה או לציבור. עוד יצוין כי תיקון זה צפוי לחסוך במשאבים הן לבתי המשפט שלא יצטרכו כאמור לנהל את שלב הבקשה לאישור רק על מנת לדחותה </w:t>
      </w:r>
      <w:r w:rsidR="009B77CE">
        <w:rPr>
          <w:rFonts w:hint="cs"/>
          <w:color w:val="000000"/>
          <w:sz w:val="26"/>
          <w:szCs w:val="26"/>
          <w:rtl/>
        </w:rPr>
        <w:t>מטעם זה</w:t>
      </w:r>
      <w:r w:rsidR="00E75D48">
        <w:rPr>
          <w:rFonts w:hint="cs"/>
          <w:color w:val="000000"/>
          <w:sz w:val="26"/>
          <w:szCs w:val="26"/>
          <w:rtl/>
        </w:rPr>
        <w:t xml:space="preserve"> כאמור והן יחסוך במשאבים של נתבעים בטיפול בתביעות שאין להן הצדקה ממשית. </w:t>
      </w:r>
      <w:r w:rsidR="00E75D48" w:rsidRPr="00F54FA5">
        <w:rPr>
          <w:rFonts w:hint="eastAsia"/>
          <w:color w:val="000000"/>
          <w:sz w:val="26"/>
          <w:szCs w:val="26"/>
          <w:rtl/>
        </w:rPr>
        <w:t>בנוסף</w:t>
      </w:r>
      <w:r w:rsidR="00E75D48" w:rsidRPr="00F54FA5">
        <w:rPr>
          <w:color w:val="000000"/>
          <w:sz w:val="26"/>
          <w:szCs w:val="26"/>
          <w:rtl/>
        </w:rPr>
        <w:t xml:space="preserve">, תיקון זה יביא לשימוש נכון יותר בכלי התובענה הייצוגית, כך שהתובענות הייצוגיות ינוהלו במקרים </w:t>
      </w:r>
      <w:r w:rsidR="00E75D48" w:rsidRPr="00F54FA5">
        <w:rPr>
          <w:rFonts w:hint="eastAsia"/>
          <w:color w:val="000000"/>
          <w:sz w:val="26"/>
          <w:szCs w:val="26"/>
          <w:rtl/>
        </w:rPr>
        <w:t>המתאימים</w:t>
      </w:r>
      <w:r w:rsidR="00E75D48" w:rsidRPr="00F54FA5">
        <w:rPr>
          <w:color w:val="000000"/>
          <w:sz w:val="26"/>
          <w:szCs w:val="26"/>
          <w:rtl/>
        </w:rPr>
        <w:t xml:space="preserve"> </w:t>
      </w:r>
      <w:r w:rsidR="00906BDB" w:rsidRPr="00F54FA5">
        <w:rPr>
          <w:rFonts w:hint="cs"/>
          <w:color w:val="000000"/>
          <w:sz w:val="26"/>
          <w:szCs w:val="26"/>
          <w:rtl/>
        </w:rPr>
        <w:t xml:space="preserve">לכך ולא </w:t>
      </w:r>
      <w:r w:rsidR="00E75D48" w:rsidRPr="00F54FA5">
        <w:rPr>
          <w:rFonts w:hint="eastAsia"/>
          <w:color w:val="000000"/>
          <w:sz w:val="26"/>
          <w:szCs w:val="26"/>
          <w:rtl/>
        </w:rPr>
        <w:t>במקרים</w:t>
      </w:r>
      <w:r w:rsidR="00E75D48" w:rsidRPr="00F54FA5">
        <w:rPr>
          <w:color w:val="000000"/>
          <w:sz w:val="26"/>
          <w:szCs w:val="26"/>
          <w:rtl/>
        </w:rPr>
        <w:t xml:space="preserve"> </w:t>
      </w:r>
      <w:r w:rsidR="00E75D48" w:rsidRPr="00F54FA5">
        <w:rPr>
          <w:rFonts w:hint="eastAsia"/>
          <w:color w:val="000000"/>
          <w:sz w:val="26"/>
          <w:szCs w:val="26"/>
          <w:rtl/>
        </w:rPr>
        <w:t>של</w:t>
      </w:r>
      <w:r w:rsidR="00E75D48" w:rsidRPr="00F54FA5">
        <w:rPr>
          <w:color w:val="000000"/>
          <w:sz w:val="26"/>
          <w:szCs w:val="26"/>
          <w:rtl/>
        </w:rPr>
        <w:t xml:space="preserve"> </w:t>
      </w:r>
      <w:r w:rsidR="009B77CE">
        <w:rPr>
          <w:rFonts w:hint="cs"/>
          <w:color w:val="000000"/>
          <w:sz w:val="26"/>
          <w:szCs w:val="26"/>
          <w:rtl/>
        </w:rPr>
        <w:t>תביעות טרדניות וקנטרניות ללא חשיבות ציבורית</w:t>
      </w:r>
      <w:r w:rsidR="00F54FA5" w:rsidRPr="00F54FA5">
        <w:rPr>
          <w:rFonts w:hint="cs"/>
          <w:color w:val="000000"/>
          <w:sz w:val="26"/>
          <w:szCs w:val="26"/>
          <w:rtl/>
        </w:rPr>
        <w:t xml:space="preserve"> שאינ</w:t>
      </w:r>
      <w:r w:rsidR="009B77CE">
        <w:rPr>
          <w:rFonts w:hint="cs"/>
          <w:color w:val="000000"/>
          <w:sz w:val="26"/>
          <w:szCs w:val="26"/>
          <w:rtl/>
        </w:rPr>
        <w:t>ן</w:t>
      </w:r>
      <w:r w:rsidR="00F54FA5" w:rsidRPr="00F54FA5">
        <w:rPr>
          <w:rFonts w:hint="cs"/>
          <w:color w:val="000000"/>
          <w:sz w:val="26"/>
          <w:szCs w:val="26"/>
          <w:rtl/>
        </w:rPr>
        <w:t xml:space="preserve"> מצדיק</w:t>
      </w:r>
      <w:r w:rsidR="009B77CE">
        <w:rPr>
          <w:rFonts w:hint="cs"/>
          <w:color w:val="000000"/>
          <w:sz w:val="26"/>
          <w:szCs w:val="26"/>
          <w:rtl/>
        </w:rPr>
        <w:t>ות</w:t>
      </w:r>
      <w:r w:rsidR="00F54FA5" w:rsidRPr="00F54FA5">
        <w:rPr>
          <w:rFonts w:hint="cs"/>
          <w:color w:val="000000"/>
          <w:sz w:val="26"/>
          <w:szCs w:val="26"/>
          <w:rtl/>
        </w:rPr>
        <w:t xml:space="preserve"> שימוש בכלי התובענה הייצוגית ועלול</w:t>
      </w:r>
      <w:r w:rsidR="009B77CE">
        <w:rPr>
          <w:rFonts w:hint="cs"/>
          <w:color w:val="000000"/>
          <w:sz w:val="26"/>
          <w:szCs w:val="26"/>
          <w:rtl/>
        </w:rPr>
        <w:t>ות</w:t>
      </w:r>
      <w:r w:rsidR="00F54FA5" w:rsidRPr="00F54FA5">
        <w:rPr>
          <w:rFonts w:hint="cs"/>
          <w:color w:val="000000"/>
          <w:sz w:val="26"/>
          <w:szCs w:val="26"/>
          <w:rtl/>
        </w:rPr>
        <w:t xml:space="preserve"> להביא </w:t>
      </w:r>
      <w:r w:rsidR="00E75D48" w:rsidRPr="00F54FA5">
        <w:rPr>
          <w:rFonts w:hint="eastAsia"/>
          <w:color w:val="000000"/>
          <w:sz w:val="26"/>
          <w:szCs w:val="26"/>
          <w:rtl/>
        </w:rPr>
        <w:t>לזילות</w:t>
      </w:r>
      <w:r w:rsidR="00E75D48" w:rsidRPr="00F54FA5">
        <w:rPr>
          <w:color w:val="000000"/>
          <w:sz w:val="26"/>
          <w:szCs w:val="26"/>
          <w:rtl/>
        </w:rPr>
        <w:t xml:space="preserve"> </w:t>
      </w:r>
      <w:r w:rsidR="00F54FA5" w:rsidRPr="00F54FA5">
        <w:rPr>
          <w:rFonts w:hint="cs"/>
          <w:color w:val="000000"/>
          <w:sz w:val="26"/>
          <w:szCs w:val="26"/>
          <w:rtl/>
        </w:rPr>
        <w:t>שלו</w:t>
      </w:r>
      <w:r w:rsidR="00E75D48" w:rsidRPr="00F54FA5">
        <w:rPr>
          <w:color w:val="000000"/>
          <w:sz w:val="26"/>
          <w:szCs w:val="26"/>
          <w:rtl/>
        </w:rPr>
        <w:t>.</w:t>
      </w:r>
    </w:p>
    <w:p w14:paraId="5F0575A8" w14:textId="77777777" w:rsidR="00C57EB2" w:rsidRDefault="00C57EB2" w:rsidP="00686B45">
      <w:pPr>
        <w:tabs>
          <w:tab w:val="left" w:pos="1020"/>
        </w:tabs>
        <w:autoSpaceDE w:val="0"/>
        <w:autoSpaceDN w:val="0"/>
        <w:adjustRightInd w:val="0"/>
        <w:snapToGrid w:val="0"/>
        <w:ind w:left="0"/>
        <w:contextualSpacing w:val="0"/>
        <w:textAlignment w:val="center"/>
        <w:rPr>
          <w:rFonts w:ascii="Calibri" w:hAnsi="Calibri" w:cs="Calibri"/>
          <w:sz w:val="20"/>
          <w:szCs w:val="20"/>
          <w:rtl/>
        </w:rPr>
      </w:pPr>
    </w:p>
    <w:p w14:paraId="6906D6C9" w14:textId="191D349B" w:rsidR="00686B45" w:rsidRDefault="00686B45" w:rsidP="00686B45">
      <w:pPr>
        <w:tabs>
          <w:tab w:val="left" w:pos="1020"/>
        </w:tabs>
        <w:autoSpaceDE w:val="0"/>
        <w:autoSpaceDN w:val="0"/>
        <w:adjustRightInd w:val="0"/>
        <w:snapToGrid w:val="0"/>
        <w:ind w:left="0"/>
        <w:contextualSpacing w:val="0"/>
        <w:textAlignment w:val="center"/>
        <w:rPr>
          <w:b/>
          <w:bCs/>
          <w:color w:val="000000"/>
          <w:sz w:val="26"/>
          <w:szCs w:val="26"/>
          <w:rtl/>
        </w:rPr>
      </w:pPr>
      <w:r w:rsidRPr="00686B45">
        <w:rPr>
          <w:rFonts w:hint="cs"/>
          <w:b/>
          <w:bCs/>
          <w:color w:val="000000"/>
          <w:sz w:val="26"/>
          <w:szCs w:val="26"/>
          <w:rtl/>
        </w:rPr>
        <w:t xml:space="preserve">סעיף </w:t>
      </w:r>
      <w:r w:rsidR="0057339A">
        <w:rPr>
          <w:rFonts w:hint="cs"/>
          <w:b/>
          <w:bCs/>
          <w:color w:val="000000"/>
          <w:sz w:val="26"/>
          <w:szCs w:val="26"/>
          <w:rtl/>
        </w:rPr>
        <w:t>5</w:t>
      </w:r>
    </w:p>
    <w:p w14:paraId="3E8E373B" w14:textId="49137F02" w:rsidR="00C57EB2" w:rsidRDefault="00C57EB2" w:rsidP="00686B45">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לפסקה (1)</w:t>
      </w:r>
    </w:p>
    <w:p w14:paraId="090EF5A9" w14:textId="2852C7BC" w:rsidR="00063AAD" w:rsidRDefault="00063AAD" w:rsidP="00686B45">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מוצע להוסיף לתנאי הקבוע בסעיף 4(א)(1) לחוק הקובע מיהו אדם שרשאי להגיש תובענה ייצוגית, כי תובע ייצוגי שעומד בתנאים, רשאי להגיש תובענה ייצוגיות ובלבד שהוא לא הגיש יותר מחמש בקשות לאישור באותה שנה </w:t>
      </w:r>
      <w:proofErr w:type="spellStart"/>
      <w:r>
        <w:rPr>
          <w:rFonts w:hint="cs"/>
          <w:color w:val="000000"/>
          <w:sz w:val="26"/>
          <w:szCs w:val="26"/>
          <w:rtl/>
        </w:rPr>
        <w:t>קלנדרית</w:t>
      </w:r>
      <w:proofErr w:type="spellEnd"/>
      <w:r>
        <w:rPr>
          <w:rFonts w:hint="cs"/>
          <w:color w:val="000000"/>
          <w:sz w:val="26"/>
          <w:szCs w:val="26"/>
          <w:rtl/>
        </w:rPr>
        <w:t>.</w:t>
      </w:r>
    </w:p>
    <w:p w14:paraId="6B5C6726" w14:textId="63AB3B72" w:rsidR="00063AAD" w:rsidRDefault="00063AAD" w:rsidP="00386A08">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כפי שצוין בדו"ח הצוות הבין-משרדי, </w:t>
      </w:r>
      <w:r w:rsidRPr="00063AAD">
        <w:rPr>
          <w:rFonts w:hint="cs"/>
          <w:color w:val="000000"/>
          <w:sz w:val="26"/>
          <w:szCs w:val="26"/>
          <w:rtl/>
        </w:rPr>
        <w:t>קיימת תופעה של "תובעים סדרתיים". כלומר, תובעים ייצוגיים המגישים מספר רב של תובענות ייצוגיות</w:t>
      </w:r>
      <w:r>
        <w:rPr>
          <w:rFonts w:hint="cs"/>
          <w:color w:val="000000"/>
          <w:sz w:val="26"/>
          <w:szCs w:val="26"/>
          <w:rtl/>
        </w:rPr>
        <w:t xml:space="preserve"> אשר לעיתים גם </w:t>
      </w:r>
      <w:r w:rsidR="0068624A">
        <w:rPr>
          <w:rFonts w:hint="cs"/>
          <w:color w:val="000000"/>
          <w:sz w:val="26"/>
          <w:szCs w:val="26"/>
          <w:rtl/>
        </w:rPr>
        <w:t>יוזמים את התביעה האישית שלהם באופן מלאכותי. אמנם הגשת תביעה כאמור אינה מלמדת באופן אוטומטי כי מדובר בבקשת סרק וייתכן כי יש ממש בבקשה. עם זאת, אי אפשר להתעלם מתופעה זו שקשורה באופן ישיר לאיכותן של הבקשות לאישור שמוגשות ולתופעה של ניצול לרעה</w:t>
      </w:r>
      <w:r w:rsidR="0068624A" w:rsidRPr="0068624A">
        <w:rPr>
          <w:rFonts w:hint="cs"/>
          <w:color w:val="000000"/>
          <w:sz w:val="26"/>
          <w:szCs w:val="26"/>
          <w:rtl/>
        </w:rPr>
        <w:t xml:space="preserve"> של כלי התובענה הייצוגית </w:t>
      </w:r>
      <w:r w:rsidR="0035284A">
        <w:rPr>
          <w:rFonts w:hint="cs"/>
          <w:color w:val="000000"/>
          <w:sz w:val="26"/>
          <w:szCs w:val="26"/>
          <w:rtl/>
        </w:rPr>
        <w:t>ורושם של</w:t>
      </w:r>
      <w:r w:rsidR="0068624A" w:rsidRPr="0068624A">
        <w:rPr>
          <w:rFonts w:hint="cs"/>
          <w:color w:val="000000"/>
          <w:sz w:val="26"/>
          <w:szCs w:val="26"/>
          <w:rtl/>
        </w:rPr>
        <w:t xml:space="preserve"> תביעות </w:t>
      </w:r>
      <w:r w:rsidR="0068624A">
        <w:rPr>
          <w:rFonts w:hint="cs"/>
          <w:color w:val="000000"/>
          <w:sz w:val="26"/>
          <w:szCs w:val="26"/>
          <w:rtl/>
        </w:rPr>
        <w:t xml:space="preserve">שמוגשות ללא עילה אישית אמיתית אלא על ידי יצירת עילה באופן מלאכותי כאמור. </w:t>
      </w:r>
    </w:p>
    <w:p w14:paraId="3B4E12B2" w14:textId="3B146D8A" w:rsidR="0068624A" w:rsidRPr="00063AAD" w:rsidRDefault="0068624A" w:rsidP="0068624A">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lastRenderedPageBreak/>
        <w:t xml:space="preserve">לאור האמור, מוצע כאמור להגביל את מספר התובענות הייצוגיות שכל תובע ייצוגי יכול להגיש בכל שנה. לשם השוואה יצוין כי בבית משפט לתביעות קטנות ניתן להגיש עד 5 תביעות בשנה, כאשר לאחר מכן לבית המשפט יש שיקול דעת בהעברת התיק לבית המשפט שלום (ראו סעיף </w:t>
      </w:r>
      <w:r w:rsidRPr="0068624A">
        <w:rPr>
          <w:color w:val="000000"/>
          <w:sz w:val="26"/>
          <w:szCs w:val="26"/>
          <w:rtl/>
        </w:rPr>
        <w:t>60(ב) לחוק בתי המשפט [נוסח משולב], התשמ"ד-1984).</w:t>
      </w:r>
      <w:r w:rsidR="00A1610B">
        <w:rPr>
          <w:rFonts w:hint="cs"/>
          <w:color w:val="000000"/>
          <w:sz w:val="26"/>
          <w:szCs w:val="26"/>
          <w:rtl/>
        </w:rPr>
        <w:t xml:space="preserve"> יובהר כי הגבלת מספר התביעות נוגעת רק לתובעים הייצוגיים, כך שביחס לעורכי הדין אין כל הגבלה על מספר התובענות הייצוגיות שהם יוכלו </w:t>
      </w:r>
      <w:r w:rsidR="0035284A">
        <w:rPr>
          <w:rFonts w:hint="cs"/>
          <w:color w:val="000000"/>
          <w:sz w:val="26"/>
          <w:szCs w:val="26"/>
          <w:rtl/>
        </w:rPr>
        <w:t>לייצג בהן</w:t>
      </w:r>
      <w:r w:rsidR="00A1610B">
        <w:rPr>
          <w:rFonts w:hint="cs"/>
          <w:color w:val="000000"/>
          <w:sz w:val="26"/>
          <w:szCs w:val="26"/>
          <w:rtl/>
        </w:rPr>
        <w:t>.</w:t>
      </w:r>
    </w:p>
    <w:p w14:paraId="0230D18F" w14:textId="1F9EFE75" w:rsidR="00C57EB2" w:rsidRPr="00C57EB2" w:rsidRDefault="00C57EB2" w:rsidP="00686B45">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לפסקאות (2) ו-(3)</w:t>
      </w:r>
    </w:p>
    <w:p w14:paraId="466AC625" w14:textId="19BB1AE8"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מוצע לבטל את דרישת הקושי להגיש את התובענה בידי אדם בעל עילה אישית, הקיימת על ארגון המעוניין להגיש תובענה ייצוגית בתחום אחת המטרות הציבוריות שבהן הוא עוסק. הטעם בכך טמון בשאיפה לעודד ארגונים בהגשת תובענות ייצוגיות בתחום מטרותיהן שכן ככלל, ארגונים מגישים תביעות שלא לשם מטרת רווח כלכלי אלא לצורך הגשמת מטרות ציבוריות וחברתיות ועל כן בעיית הנציג הקיימת בחוק מתמתנת. הרחבת האפשרות לארגונים להגיש תובענות ייצוגיות משתלבת עם התפיסה הכללית אותה ביקש חוק תובענות ייצוגיות לקדם הנוגעת לעידוד תובענות ייצוגיות ראויות והסרת מחסומים דיוניים מעל תביעות אלו. יצוין כי בהתאם לפסיקה, נקודת המוצא בכל הנוגע להגשת תביעות על ידי ארגונים היא שיש ערך רב בשילובם של ארגונים הפועלים למטרות ציבוריות במוסד התובענה הייצוגית וההלכה היא שיש להימנע מגישה </w:t>
      </w:r>
      <w:r w:rsidR="0035284A">
        <w:rPr>
          <w:rFonts w:hint="cs"/>
          <w:color w:val="000000"/>
          <w:sz w:val="26"/>
          <w:szCs w:val="26"/>
          <w:rtl/>
        </w:rPr>
        <w:t>מחמירה</w:t>
      </w:r>
      <w:r w:rsidR="0035284A" w:rsidRPr="00686B45">
        <w:rPr>
          <w:rFonts w:hint="cs"/>
          <w:color w:val="000000"/>
          <w:sz w:val="26"/>
          <w:szCs w:val="26"/>
          <w:rtl/>
        </w:rPr>
        <w:t xml:space="preserve"> </w:t>
      </w:r>
      <w:r w:rsidRPr="00686B45">
        <w:rPr>
          <w:rFonts w:hint="cs"/>
          <w:color w:val="000000"/>
          <w:sz w:val="26"/>
          <w:szCs w:val="26"/>
          <w:rtl/>
        </w:rPr>
        <w:t>ביחס ל</w:t>
      </w:r>
      <w:r w:rsidR="0035284A">
        <w:rPr>
          <w:rFonts w:hint="cs"/>
          <w:color w:val="000000"/>
          <w:sz w:val="26"/>
          <w:szCs w:val="26"/>
          <w:rtl/>
        </w:rPr>
        <w:t xml:space="preserve">הוכחת </w:t>
      </w:r>
      <w:r w:rsidRPr="00686B45">
        <w:rPr>
          <w:rFonts w:hint="cs"/>
          <w:color w:val="000000"/>
          <w:sz w:val="26"/>
          <w:szCs w:val="26"/>
          <w:rtl/>
        </w:rPr>
        <w:t xml:space="preserve">דרישת הקושי. עם זאת, דרישה זו מקשה בפועל על ארגונים להגיש תובענות ייצוגיות בתחום מטרותיהן ועל כן מוצע לקבוע כי ארגונים יהיו רשאים להגיש תובענות ייצוגיות גם במקרים שבהם אין קושי להגיש את התובענה בידי אדם בעל עילה אישית. </w:t>
      </w:r>
    </w:p>
    <w:p w14:paraId="09404D37" w14:textId="3A03EC9B"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על מנת שלא לאפשר תופעה של שימוש לרעה בידי ארגונים שיוקמו </w:t>
      </w:r>
      <w:r w:rsidR="0035284A">
        <w:rPr>
          <w:rFonts w:hint="cs"/>
          <w:color w:val="000000"/>
          <w:sz w:val="26"/>
          <w:szCs w:val="26"/>
          <w:rtl/>
        </w:rPr>
        <w:t>רק ל</w:t>
      </w:r>
      <w:r w:rsidR="0035284A" w:rsidRPr="00686B45">
        <w:rPr>
          <w:rFonts w:hint="cs"/>
          <w:color w:val="000000"/>
          <w:sz w:val="26"/>
          <w:szCs w:val="26"/>
          <w:rtl/>
        </w:rPr>
        <w:t xml:space="preserve">צורך </w:t>
      </w:r>
      <w:r w:rsidRPr="00686B45">
        <w:rPr>
          <w:rFonts w:hint="cs"/>
          <w:color w:val="000000"/>
          <w:sz w:val="26"/>
          <w:szCs w:val="26"/>
          <w:rtl/>
        </w:rPr>
        <w:t xml:space="preserve">הגשת תובענות ייצוגיות מוצע במקביל לתקן את הגדרת הארגון בחוק ולהוסיף לה תנאי לפיו הגשת תובענות ייצוגיות אינה פעולתו העיקרית של הארגון. </w:t>
      </w:r>
    </w:p>
    <w:p w14:paraId="02DEED4F" w14:textId="53577624" w:rsid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עוד מוצע להבהיר כי כאשר אחד מיסודות העילה הוא נזק והתובענה מוגשת בידי ארגון, על הארגון להראות כי נגרם נזק מיוחד לאחד מחברי הקבוצה או שקיימת אפשרות סבירה לנזק כאמור. סעיף זה נועד להבהיר כי הכוונה היא לאפשר לארגונים להגיש תובענות ייצוגיות רק מקום שבו ניתן להצביע על נפגעים ספציפיים ויש נזק מיוחד לחברי הקבוצה ולא במקרים שבהם נגרם נזק לציבור בכללותו. בהקשר זה יובהר כי התובענה הייצוגית היא כלי דיוני לאיחוד תביעות פרטניות והיא אינה יכולה לייצר עילת תביעה לקבוצה, מקום שזו אינה קיימת לפי הדין המהותי לכל אחד מחברי הקבוצה. לכן, בעצם הגשת התביעה על ידי ארגון אין כדי להקנות לחברי הקבוצה עילת תביעה שלא הייתה מוקנית לכל אחד מהם בתביעה אישית. </w:t>
      </w:r>
    </w:p>
    <w:p w14:paraId="5D5C1785" w14:textId="77777777" w:rsidR="004551A7" w:rsidRDefault="004551A7" w:rsidP="00686B45">
      <w:pPr>
        <w:tabs>
          <w:tab w:val="left" w:pos="1020"/>
        </w:tabs>
        <w:autoSpaceDE w:val="0"/>
        <w:autoSpaceDN w:val="0"/>
        <w:adjustRightInd w:val="0"/>
        <w:snapToGrid w:val="0"/>
        <w:ind w:left="0"/>
        <w:contextualSpacing w:val="0"/>
        <w:textAlignment w:val="center"/>
        <w:rPr>
          <w:color w:val="000000"/>
          <w:sz w:val="26"/>
          <w:szCs w:val="26"/>
          <w:rtl/>
        </w:rPr>
      </w:pPr>
    </w:p>
    <w:p w14:paraId="1A61EB02" w14:textId="6304127E" w:rsidR="00686B45" w:rsidRPr="00686B45" w:rsidRDefault="00686B45" w:rsidP="00686B45">
      <w:pPr>
        <w:tabs>
          <w:tab w:val="left" w:pos="1020"/>
        </w:tabs>
        <w:autoSpaceDE w:val="0"/>
        <w:autoSpaceDN w:val="0"/>
        <w:adjustRightInd w:val="0"/>
        <w:snapToGrid w:val="0"/>
        <w:ind w:left="0"/>
        <w:contextualSpacing w:val="0"/>
        <w:textAlignment w:val="center"/>
        <w:rPr>
          <w:b/>
          <w:bCs/>
          <w:color w:val="000000"/>
          <w:sz w:val="26"/>
          <w:szCs w:val="26"/>
          <w:rtl/>
        </w:rPr>
      </w:pPr>
      <w:r w:rsidRPr="00686B45">
        <w:rPr>
          <w:rFonts w:hint="cs"/>
          <w:b/>
          <w:bCs/>
          <w:color w:val="000000"/>
          <w:sz w:val="26"/>
          <w:szCs w:val="26"/>
          <w:rtl/>
        </w:rPr>
        <w:t xml:space="preserve">סעיף </w:t>
      </w:r>
      <w:r w:rsidR="0057339A">
        <w:rPr>
          <w:rFonts w:hint="cs"/>
          <w:b/>
          <w:bCs/>
          <w:color w:val="000000"/>
          <w:sz w:val="26"/>
          <w:szCs w:val="26"/>
          <w:rtl/>
        </w:rPr>
        <w:t>6</w:t>
      </w:r>
    </w:p>
    <w:p w14:paraId="1E2D0461" w14:textId="77777777" w:rsidR="00CA2DA6" w:rsidRDefault="00CA2DA6" w:rsidP="00686B45">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לפסקה (1)</w:t>
      </w:r>
    </w:p>
    <w:p w14:paraId="3981656C" w14:textId="7D78CBBD"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color w:val="000000"/>
          <w:sz w:val="26"/>
          <w:szCs w:val="26"/>
          <w:rtl/>
        </w:rPr>
        <w:t xml:space="preserve">מוצע לתקן את סעיף 5 לחוק תובענות ייצוגיות, שעניינו הגשת בקשה לאישור תובענה ייצוגית. </w:t>
      </w:r>
      <w:r w:rsidRPr="00686B45">
        <w:rPr>
          <w:rFonts w:hint="cs"/>
          <w:color w:val="000000"/>
          <w:sz w:val="26"/>
          <w:szCs w:val="26"/>
          <w:rtl/>
        </w:rPr>
        <w:t xml:space="preserve">לאור התופעה של הגשת תובענות ייצוגיות בסכומי תביעה מופרזים, מוצע לתקן את סעיף 5(ב)(1) לחוק ולקבוע כי בקשה לאישור תובענה ייצוגית תוגש לבית המשפט אשר לו הסמכות העניינית לדון בתובענה, וזאת ללא ציון סכום התביעה הכולל לחברי הקבוצה שבשמה מוגשת הבקשה לאישור. התובע הייצוגי יידרש לציין את סכום תביעתו האישית ואת בית המשפט אשר לו הסמכות העניינית לדון בתובענה. </w:t>
      </w:r>
    </w:p>
    <w:p w14:paraId="341CB4D4" w14:textId="55B32C1A"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lastRenderedPageBreak/>
        <w:t xml:space="preserve">תופעת הסכומים המופרזים נובעת, בין היתר, מן </w:t>
      </w:r>
      <w:r w:rsidRPr="00686B45">
        <w:rPr>
          <w:color w:val="000000"/>
          <w:sz w:val="26"/>
          <w:szCs w:val="26"/>
          <w:rtl/>
        </w:rPr>
        <w:t xml:space="preserve">העובדה שתשלום האגרה בהגשת בקשה לאישור תובענה ייצוגית אינו תלוי בסכום הנתבע </w:t>
      </w:r>
      <w:r w:rsidR="00EB195A">
        <w:rPr>
          <w:rFonts w:hint="cs"/>
          <w:color w:val="000000"/>
          <w:sz w:val="26"/>
          <w:szCs w:val="26"/>
          <w:rtl/>
        </w:rPr>
        <w:t>בשונה מ</w:t>
      </w:r>
      <w:r w:rsidRPr="00686B45">
        <w:rPr>
          <w:color w:val="000000"/>
          <w:sz w:val="26"/>
          <w:szCs w:val="26"/>
          <w:rtl/>
        </w:rPr>
        <w:t>תביעות כספיות אחרות</w:t>
      </w:r>
      <w:r w:rsidRPr="00686B45">
        <w:rPr>
          <w:rFonts w:hint="cs"/>
          <w:color w:val="000000"/>
          <w:sz w:val="26"/>
          <w:szCs w:val="26"/>
          <w:rtl/>
        </w:rPr>
        <w:t xml:space="preserve">. על כן, </w:t>
      </w:r>
      <w:r w:rsidRPr="00686B45">
        <w:rPr>
          <w:color w:val="000000"/>
          <w:sz w:val="26"/>
          <w:szCs w:val="26"/>
          <w:rtl/>
        </w:rPr>
        <w:t>בחלק מהמקרים מדובר ברצון להפעיל לחץ שאינו הוגן על נתבע</w:t>
      </w:r>
      <w:r w:rsidR="00E75E6A">
        <w:rPr>
          <w:rFonts w:hint="cs"/>
          <w:color w:val="000000"/>
          <w:sz w:val="26"/>
          <w:szCs w:val="26"/>
          <w:rtl/>
        </w:rPr>
        <w:t>ים</w:t>
      </w:r>
      <w:r w:rsidRPr="00686B45">
        <w:rPr>
          <w:color w:val="000000"/>
          <w:sz w:val="26"/>
          <w:szCs w:val="26"/>
          <w:rtl/>
        </w:rPr>
        <w:t xml:space="preserve"> </w:t>
      </w:r>
      <w:r w:rsidR="00EB195A">
        <w:rPr>
          <w:rFonts w:hint="cs"/>
          <w:color w:val="000000"/>
          <w:sz w:val="26"/>
          <w:szCs w:val="26"/>
          <w:rtl/>
        </w:rPr>
        <w:t>בהגשת</w:t>
      </w:r>
      <w:r w:rsidRPr="00686B45">
        <w:rPr>
          <w:rFonts w:hint="cs"/>
          <w:color w:val="000000"/>
          <w:sz w:val="26"/>
          <w:szCs w:val="26"/>
          <w:rtl/>
        </w:rPr>
        <w:t xml:space="preserve"> </w:t>
      </w:r>
      <w:r w:rsidRPr="00686B45">
        <w:rPr>
          <w:color w:val="000000"/>
          <w:sz w:val="26"/>
          <w:szCs w:val="26"/>
          <w:rtl/>
        </w:rPr>
        <w:t xml:space="preserve">תביעות </w:t>
      </w:r>
      <w:r w:rsidRPr="00686B45">
        <w:rPr>
          <w:rFonts w:hint="cs"/>
          <w:color w:val="000000"/>
          <w:sz w:val="26"/>
          <w:szCs w:val="26"/>
          <w:rtl/>
        </w:rPr>
        <w:t xml:space="preserve">בסכומים גבוהים </w:t>
      </w:r>
      <w:r w:rsidRPr="00686B45">
        <w:rPr>
          <w:color w:val="000000"/>
          <w:sz w:val="26"/>
          <w:szCs w:val="26"/>
          <w:rtl/>
        </w:rPr>
        <w:t>מבלי שקדמה להן בדיקה עובדתית או משפטית ראויה, כמנוף לחץ על נתבע</w:t>
      </w:r>
      <w:r w:rsidR="00E75E6A">
        <w:rPr>
          <w:rFonts w:hint="cs"/>
          <w:color w:val="000000"/>
          <w:sz w:val="26"/>
          <w:szCs w:val="26"/>
          <w:rtl/>
        </w:rPr>
        <w:t>ים</w:t>
      </w:r>
      <w:r w:rsidRPr="00686B45">
        <w:rPr>
          <w:color w:val="000000"/>
          <w:sz w:val="26"/>
          <w:szCs w:val="26"/>
          <w:rtl/>
        </w:rPr>
        <w:t xml:space="preserve"> במטרה להגיע עמ</w:t>
      </w:r>
      <w:r w:rsidR="00E75E6A">
        <w:rPr>
          <w:rFonts w:hint="cs"/>
          <w:color w:val="000000"/>
          <w:sz w:val="26"/>
          <w:szCs w:val="26"/>
          <w:rtl/>
        </w:rPr>
        <w:t>ם</w:t>
      </w:r>
      <w:r w:rsidRPr="00686B45">
        <w:rPr>
          <w:color w:val="000000"/>
          <w:sz w:val="26"/>
          <w:szCs w:val="26"/>
          <w:rtl/>
        </w:rPr>
        <w:t xml:space="preserve"> להסדר מהיר.</w:t>
      </w:r>
      <w:r w:rsidRPr="00686B45">
        <w:rPr>
          <w:rFonts w:hint="cs"/>
          <w:color w:val="000000"/>
          <w:sz w:val="26"/>
          <w:szCs w:val="26"/>
          <w:rtl/>
        </w:rPr>
        <w:t xml:space="preserve"> בנוסף, </w:t>
      </w:r>
      <w:r w:rsidRPr="00686B45">
        <w:rPr>
          <w:color w:val="000000"/>
          <w:sz w:val="26"/>
          <w:szCs w:val="26"/>
          <w:rtl/>
        </w:rPr>
        <w:t>חלק מהפער בין סכום התביעה לסכום שנפסק בסיום ההליך נובע מכך שבתחילת ההליך ישנם</w:t>
      </w:r>
      <w:r w:rsidRPr="00686B45">
        <w:rPr>
          <w:rFonts w:hint="cs"/>
          <w:color w:val="000000"/>
          <w:sz w:val="26"/>
          <w:szCs w:val="26"/>
          <w:rtl/>
        </w:rPr>
        <w:t>,</w:t>
      </w:r>
      <w:r w:rsidRPr="00686B45">
        <w:rPr>
          <w:color w:val="000000"/>
          <w:sz w:val="26"/>
          <w:szCs w:val="26"/>
          <w:rtl/>
        </w:rPr>
        <w:t xml:space="preserve"> ככלל</w:t>
      </w:r>
      <w:r w:rsidRPr="00686B45">
        <w:rPr>
          <w:rFonts w:hint="cs"/>
          <w:color w:val="000000"/>
          <w:sz w:val="26"/>
          <w:szCs w:val="26"/>
          <w:rtl/>
        </w:rPr>
        <w:t>,</w:t>
      </w:r>
      <w:r w:rsidRPr="00686B45">
        <w:rPr>
          <w:color w:val="000000"/>
          <w:sz w:val="26"/>
          <w:szCs w:val="26"/>
          <w:rtl/>
        </w:rPr>
        <w:t xml:space="preserve"> פערי מידע מובנים בין הצדדים להליך, </w:t>
      </w:r>
      <w:r w:rsidRPr="00686B45">
        <w:rPr>
          <w:rFonts w:hint="cs"/>
          <w:color w:val="000000"/>
          <w:sz w:val="26"/>
          <w:szCs w:val="26"/>
          <w:rtl/>
        </w:rPr>
        <w:t xml:space="preserve">אשר מקשים על התובע הייצוגי ובא כוחו להעריך את </w:t>
      </w:r>
      <w:r w:rsidRPr="00686B45">
        <w:rPr>
          <w:color w:val="000000"/>
          <w:sz w:val="26"/>
          <w:szCs w:val="26"/>
          <w:rtl/>
        </w:rPr>
        <w:t>הנזק שנגרם לקבוצה, כמו גם את גודלה של הקבוצה</w:t>
      </w:r>
      <w:r w:rsidRPr="00686B45">
        <w:rPr>
          <w:rFonts w:hint="cs"/>
          <w:color w:val="000000"/>
          <w:sz w:val="26"/>
          <w:szCs w:val="26"/>
          <w:rtl/>
        </w:rPr>
        <w:t>.</w:t>
      </w:r>
    </w:p>
    <w:p w14:paraId="4C5205A0" w14:textId="55AFC40D" w:rsid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color w:val="000000"/>
          <w:sz w:val="26"/>
          <w:szCs w:val="26"/>
          <w:rtl/>
        </w:rPr>
        <w:t>הקושי ב</w:t>
      </w:r>
      <w:r w:rsidRPr="00686B45">
        <w:rPr>
          <w:rFonts w:hint="cs"/>
          <w:color w:val="000000"/>
          <w:sz w:val="26"/>
          <w:szCs w:val="26"/>
          <w:rtl/>
        </w:rPr>
        <w:t>הגשת בקשות לאישור ב</w:t>
      </w:r>
      <w:r w:rsidRPr="00686B45">
        <w:rPr>
          <w:color w:val="000000"/>
          <w:sz w:val="26"/>
          <w:szCs w:val="26"/>
          <w:rtl/>
        </w:rPr>
        <w:t>סכומים מופרזים, גם אם בסופו של הליך סכום הפיצוי הוא נמוך משמעותית נוגע, בין היתר, לכך שביחס לחברות ציבוריות, על פי תקנות ניירות ערך (דו"חות תקופתיים ומידיים), התש"ל-1970, על חברה ציבורית לדווח על הליכים משפטיים אשר התאגיד הוא צד להם</w:t>
      </w:r>
      <w:r w:rsidRPr="00686B45">
        <w:rPr>
          <w:rFonts w:hint="cs"/>
          <w:color w:val="000000"/>
          <w:sz w:val="26"/>
          <w:szCs w:val="26"/>
          <w:rtl/>
        </w:rPr>
        <w:t xml:space="preserve"> ותיאור זה, כולל</w:t>
      </w:r>
      <w:r w:rsidRPr="00686B45">
        <w:rPr>
          <w:color w:val="000000"/>
          <w:sz w:val="26"/>
          <w:szCs w:val="26"/>
          <w:rtl/>
        </w:rPr>
        <w:t xml:space="preserve">, בין היתר, את הסעד המתבקש במסגרת ההליך. בנוסף לכך, כאשר מדובר בעסקים </w:t>
      </w:r>
      <w:r w:rsidR="00EB195A">
        <w:rPr>
          <w:rFonts w:hint="cs"/>
          <w:color w:val="000000"/>
          <w:sz w:val="26"/>
          <w:szCs w:val="26"/>
          <w:rtl/>
        </w:rPr>
        <w:t>זעירים וקטנים</w:t>
      </w:r>
      <w:r w:rsidRPr="00686B45">
        <w:rPr>
          <w:color w:val="000000"/>
          <w:sz w:val="26"/>
          <w:szCs w:val="26"/>
          <w:rtl/>
        </w:rPr>
        <w:t xml:space="preserve"> אשר מוגשת נגדם תביעה על מיליוני שקלים, יש לכך משמעויות רחבות היקף על התנהלות העסק. </w:t>
      </w:r>
    </w:p>
    <w:p w14:paraId="68CB27F1" w14:textId="38472B57" w:rsidR="00CA2DA6" w:rsidRPr="00CA2DA6" w:rsidRDefault="00CA2DA6" w:rsidP="00686B45">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לפסקה (2)</w:t>
      </w:r>
    </w:p>
    <w:p w14:paraId="01AEB873" w14:textId="5301020F"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מוצע לתקן את סעיף 5(ב)(2) הקובע כי הסמכות העניינית לדון בבקשות לאישור המוגשות נגד רשות במקרים הקבועים בסעיף תוקנה לבית המשפט לעניינים </w:t>
      </w:r>
      <w:proofErr w:type="spellStart"/>
      <w:r w:rsidRPr="00686B45">
        <w:rPr>
          <w:rFonts w:hint="cs"/>
          <w:color w:val="000000"/>
          <w:sz w:val="26"/>
          <w:szCs w:val="26"/>
          <w:rtl/>
        </w:rPr>
        <w:t>מינהליים</w:t>
      </w:r>
      <w:proofErr w:type="spellEnd"/>
      <w:r w:rsidRPr="00686B45">
        <w:rPr>
          <w:rFonts w:hint="cs"/>
          <w:color w:val="000000"/>
          <w:sz w:val="26"/>
          <w:szCs w:val="26"/>
          <w:rtl/>
        </w:rPr>
        <w:t xml:space="preserve">. </w:t>
      </w:r>
      <w:r w:rsidRPr="00686B45">
        <w:rPr>
          <w:color w:val="000000"/>
          <w:sz w:val="26"/>
          <w:szCs w:val="26"/>
          <w:rtl/>
        </w:rPr>
        <w:t xml:space="preserve">קביעה זו משקפת את </w:t>
      </w:r>
      <w:r w:rsidR="00EB195A" w:rsidRPr="00686B45">
        <w:rPr>
          <w:color w:val="000000"/>
          <w:sz w:val="26"/>
          <w:szCs w:val="26"/>
          <w:rtl/>
        </w:rPr>
        <w:t>ה</w:t>
      </w:r>
      <w:r w:rsidR="00EB195A">
        <w:rPr>
          <w:rFonts w:hint="cs"/>
          <w:color w:val="000000"/>
          <w:sz w:val="26"/>
          <w:szCs w:val="26"/>
          <w:rtl/>
        </w:rPr>
        <w:t>רצון</w:t>
      </w:r>
      <w:r w:rsidR="00EB195A" w:rsidRPr="00686B45">
        <w:rPr>
          <w:color w:val="000000"/>
          <w:sz w:val="26"/>
          <w:szCs w:val="26"/>
          <w:rtl/>
        </w:rPr>
        <w:t xml:space="preserve"> </w:t>
      </w:r>
      <w:r w:rsidRPr="00686B45">
        <w:rPr>
          <w:color w:val="000000"/>
          <w:sz w:val="26"/>
          <w:szCs w:val="26"/>
          <w:rtl/>
        </w:rPr>
        <w:t xml:space="preserve">לייחד כללים ייחודיים להתדיינות עם רשויות </w:t>
      </w:r>
      <w:proofErr w:type="spellStart"/>
      <w:r w:rsidRPr="00686B45">
        <w:rPr>
          <w:color w:val="000000"/>
          <w:sz w:val="26"/>
          <w:szCs w:val="26"/>
          <w:rtl/>
        </w:rPr>
        <w:t>מינהליות</w:t>
      </w:r>
      <w:proofErr w:type="spellEnd"/>
      <w:r w:rsidRPr="00686B45">
        <w:rPr>
          <w:color w:val="000000"/>
          <w:sz w:val="26"/>
          <w:szCs w:val="26"/>
          <w:rtl/>
        </w:rPr>
        <w:t xml:space="preserve"> ולרכז התדיינויות אלה בבתי משפט לעניינים </w:t>
      </w:r>
      <w:proofErr w:type="spellStart"/>
      <w:r w:rsidRPr="00686B45">
        <w:rPr>
          <w:color w:val="000000"/>
          <w:sz w:val="26"/>
          <w:szCs w:val="26"/>
          <w:rtl/>
        </w:rPr>
        <w:t>מינהליים</w:t>
      </w:r>
      <w:proofErr w:type="spellEnd"/>
      <w:r w:rsidRPr="00686B45">
        <w:rPr>
          <w:color w:val="000000"/>
          <w:sz w:val="26"/>
          <w:szCs w:val="26"/>
          <w:rtl/>
        </w:rPr>
        <w:t xml:space="preserve">. </w:t>
      </w:r>
    </w:p>
    <w:p w14:paraId="26E6C7C8" w14:textId="0BCC3867"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color w:val="000000"/>
          <w:sz w:val="26"/>
          <w:szCs w:val="26"/>
          <w:rtl/>
        </w:rPr>
        <w:t xml:space="preserve">לאור מומחיותם של בתי המשפט לעניינים </w:t>
      </w:r>
      <w:proofErr w:type="spellStart"/>
      <w:r w:rsidRPr="00686B45">
        <w:rPr>
          <w:color w:val="000000"/>
          <w:sz w:val="26"/>
          <w:szCs w:val="26"/>
          <w:rtl/>
        </w:rPr>
        <w:t>מינהליים</w:t>
      </w:r>
      <w:proofErr w:type="spellEnd"/>
      <w:r w:rsidRPr="00686B45">
        <w:rPr>
          <w:color w:val="000000"/>
          <w:sz w:val="26"/>
          <w:szCs w:val="26"/>
          <w:rtl/>
        </w:rPr>
        <w:t xml:space="preserve"> בהתדיינויות מול רשויות </w:t>
      </w:r>
      <w:proofErr w:type="spellStart"/>
      <w:r w:rsidRPr="00686B45">
        <w:rPr>
          <w:color w:val="000000"/>
          <w:sz w:val="26"/>
          <w:szCs w:val="26"/>
          <w:rtl/>
        </w:rPr>
        <w:t>מינהליות</w:t>
      </w:r>
      <w:proofErr w:type="spellEnd"/>
      <w:r w:rsidRPr="00686B45">
        <w:rPr>
          <w:color w:val="000000"/>
          <w:sz w:val="26"/>
          <w:szCs w:val="26"/>
          <w:rtl/>
        </w:rPr>
        <w:t>, מוצע לקבוע כי גם תביעות השבה נגד ר</w:t>
      </w:r>
      <w:r w:rsidRPr="00686B45">
        <w:rPr>
          <w:rFonts w:hint="cs"/>
          <w:color w:val="000000"/>
          <w:sz w:val="26"/>
          <w:szCs w:val="26"/>
          <w:rtl/>
        </w:rPr>
        <w:t xml:space="preserve">שות מקרקעי ישראל </w:t>
      </w:r>
      <w:r w:rsidRPr="00686B45">
        <w:rPr>
          <w:color w:val="000000"/>
          <w:sz w:val="26"/>
          <w:szCs w:val="26"/>
          <w:rtl/>
        </w:rPr>
        <w:t>או נגד תאגיד מים וביוב</w:t>
      </w:r>
      <w:r w:rsidRPr="00686B45">
        <w:rPr>
          <w:rFonts w:hint="cs"/>
          <w:color w:val="000000"/>
          <w:sz w:val="26"/>
          <w:szCs w:val="26"/>
          <w:rtl/>
        </w:rPr>
        <w:t xml:space="preserve"> </w:t>
      </w:r>
      <w:r w:rsidRPr="00686B45">
        <w:rPr>
          <w:rFonts w:hint="eastAsia"/>
          <w:color w:val="000000"/>
          <w:sz w:val="26"/>
          <w:szCs w:val="26"/>
          <w:rtl/>
        </w:rPr>
        <w:t>וכן</w:t>
      </w:r>
      <w:r w:rsidRPr="00686B45">
        <w:rPr>
          <w:color w:val="000000"/>
          <w:sz w:val="26"/>
          <w:szCs w:val="26"/>
          <w:rtl/>
        </w:rPr>
        <w:t xml:space="preserve"> </w:t>
      </w:r>
      <w:r w:rsidRPr="00686B45">
        <w:rPr>
          <w:rFonts w:hint="cs"/>
          <w:color w:val="000000"/>
          <w:sz w:val="26"/>
          <w:szCs w:val="26"/>
          <w:rtl/>
        </w:rPr>
        <w:t xml:space="preserve">מועצה </w:t>
      </w:r>
      <w:r w:rsidRPr="00686B45">
        <w:rPr>
          <w:rFonts w:hint="eastAsia"/>
          <w:color w:val="000000"/>
          <w:sz w:val="26"/>
          <w:szCs w:val="26"/>
          <w:rtl/>
        </w:rPr>
        <w:t>מקומית</w:t>
      </w:r>
      <w:r w:rsidRPr="00686B45">
        <w:rPr>
          <w:color w:val="000000"/>
          <w:sz w:val="26"/>
          <w:szCs w:val="26"/>
          <w:rtl/>
        </w:rPr>
        <w:t xml:space="preserve"> לפי פרטים 15 ו- 16 לתוספת </w:t>
      </w:r>
      <w:proofErr w:type="spellStart"/>
      <w:r w:rsidRPr="00686B45">
        <w:rPr>
          <w:color w:val="000000"/>
          <w:sz w:val="26"/>
          <w:szCs w:val="26"/>
          <w:rtl/>
        </w:rPr>
        <w:t>השניה</w:t>
      </w:r>
      <w:proofErr w:type="spellEnd"/>
      <w:r w:rsidRPr="00686B45">
        <w:rPr>
          <w:rFonts w:hint="cs"/>
          <w:color w:val="000000"/>
          <w:sz w:val="26"/>
          <w:szCs w:val="26"/>
          <w:rtl/>
        </w:rPr>
        <w:t>,</w:t>
      </w:r>
      <w:r w:rsidRPr="00686B45">
        <w:rPr>
          <w:color w:val="000000"/>
          <w:sz w:val="26"/>
          <w:szCs w:val="26"/>
          <w:rtl/>
        </w:rPr>
        <w:t xml:space="preserve"> ידונו בבית משפט לעניינים </w:t>
      </w:r>
      <w:proofErr w:type="spellStart"/>
      <w:r w:rsidRPr="00686B45">
        <w:rPr>
          <w:color w:val="000000"/>
          <w:sz w:val="26"/>
          <w:szCs w:val="26"/>
          <w:rtl/>
        </w:rPr>
        <w:t>מינהליים</w:t>
      </w:r>
      <w:proofErr w:type="spellEnd"/>
      <w:r w:rsidRPr="00686B45">
        <w:rPr>
          <w:color w:val="000000"/>
          <w:sz w:val="26"/>
          <w:szCs w:val="26"/>
          <w:rtl/>
        </w:rPr>
        <w:t>.</w:t>
      </w:r>
    </w:p>
    <w:p w14:paraId="7E8AF961" w14:textId="30FF3E5B" w:rsid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color w:val="000000"/>
          <w:sz w:val="26"/>
          <w:szCs w:val="26"/>
          <w:rtl/>
        </w:rPr>
        <w:t xml:space="preserve">יצוין כי גם חוק בתי משפט לעניינים </w:t>
      </w:r>
      <w:proofErr w:type="spellStart"/>
      <w:r w:rsidRPr="00686B45">
        <w:rPr>
          <w:color w:val="000000"/>
          <w:sz w:val="26"/>
          <w:szCs w:val="26"/>
          <w:rtl/>
        </w:rPr>
        <w:t>מינהליים</w:t>
      </w:r>
      <w:proofErr w:type="spellEnd"/>
      <w:r w:rsidRPr="00686B45">
        <w:rPr>
          <w:color w:val="000000"/>
          <w:sz w:val="26"/>
          <w:szCs w:val="26"/>
          <w:rtl/>
        </w:rPr>
        <w:t xml:space="preserve">, קובע בסעיף 5(3) שבו, כי בית משפט לעניינים </w:t>
      </w:r>
      <w:proofErr w:type="spellStart"/>
      <w:r w:rsidRPr="00686B45">
        <w:rPr>
          <w:color w:val="000000"/>
          <w:sz w:val="26"/>
          <w:szCs w:val="26"/>
          <w:rtl/>
        </w:rPr>
        <w:t>מינהליים</w:t>
      </w:r>
      <w:proofErr w:type="spellEnd"/>
      <w:r w:rsidRPr="00686B45">
        <w:rPr>
          <w:color w:val="000000"/>
          <w:sz w:val="26"/>
          <w:szCs w:val="26"/>
          <w:rtl/>
        </w:rPr>
        <w:t xml:space="preserve"> ידון בתובענה המנויה בתוספת השלישית לחוק, כאשר פרט 2 לתוספת האמורה מפנה לסעיף 5(ב)(2) לחוק תובענות ייצוגיות. </w:t>
      </w:r>
    </w:p>
    <w:p w14:paraId="4B07F842" w14:textId="77777777" w:rsidR="004551A7" w:rsidRPr="00686B45" w:rsidRDefault="004551A7" w:rsidP="00686B45">
      <w:pPr>
        <w:tabs>
          <w:tab w:val="left" w:pos="1020"/>
        </w:tabs>
        <w:autoSpaceDE w:val="0"/>
        <w:autoSpaceDN w:val="0"/>
        <w:adjustRightInd w:val="0"/>
        <w:snapToGrid w:val="0"/>
        <w:ind w:left="0"/>
        <w:contextualSpacing w:val="0"/>
        <w:textAlignment w:val="center"/>
        <w:rPr>
          <w:color w:val="000000"/>
          <w:sz w:val="26"/>
          <w:szCs w:val="26"/>
          <w:rtl/>
        </w:rPr>
      </w:pPr>
    </w:p>
    <w:p w14:paraId="348DF826" w14:textId="09AAD79D" w:rsidR="00686B45" w:rsidRPr="00686B45" w:rsidRDefault="00686B45" w:rsidP="00686B45">
      <w:pPr>
        <w:tabs>
          <w:tab w:val="left" w:pos="1020"/>
        </w:tabs>
        <w:autoSpaceDE w:val="0"/>
        <w:autoSpaceDN w:val="0"/>
        <w:adjustRightInd w:val="0"/>
        <w:snapToGrid w:val="0"/>
        <w:ind w:left="0"/>
        <w:contextualSpacing w:val="0"/>
        <w:textAlignment w:val="center"/>
        <w:rPr>
          <w:b/>
          <w:bCs/>
          <w:color w:val="000000"/>
          <w:sz w:val="26"/>
          <w:szCs w:val="26"/>
          <w:rtl/>
        </w:rPr>
      </w:pPr>
      <w:r w:rsidRPr="00686B45">
        <w:rPr>
          <w:rFonts w:hint="cs"/>
          <w:b/>
          <w:bCs/>
          <w:color w:val="000000"/>
          <w:sz w:val="26"/>
          <w:szCs w:val="26"/>
          <w:rtl/>
        </w:rPr>
        <w:t xml:space="preserve">סעיף </w:t>
      </w:r>
      <w:r w:rsidR="0057339A">
        <w:rPr>
          <w:rFonts w:hint="cs"/>
          <w:b/>
          <w:bCs/>
          <w:color w:val="000000"/>
          <w:sz w:val="26"/>
          <w:szCs w:val="26"/>
          <w:rtl/>
        </w:rPr>
        <w:t>7</w:t>
      </w:r>
    </w:p>
    <w:p w14:paraId="457591A9" w14:textId="537BF806"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מוצע לתקן את סעיף 7 לחוק העוסק בנושא של תחרות בין בקשות לאישור או תובענות ייצוגיות </w:t>
      </w:r>
      <w:r w:rsidR="004A4981">
        <w:rPr>
          <w:rFonts w:hint="cs"/>
          <w:color w:val="000000"/>
          <w:sz w:val="26"/>
          <w:szCs w:val="26"/>
          <w:rtl/>
        </w:rPr>
        <w:t xml:space="preserve">שהן </w:t>
      </w:r>
      <w:r w:rsidRPr="00686B45">
        <w:rPr>
          <w:rFonts w:hint="cs"/>
          <w:color w:val="000000"/>
          <w:sz w:val="26"/>
          <w:szCs w:val="26"/>
          <w:rtl/>
        </w:rPr>
        <w:t xml:space="preserve">זהות או דומות, לעניין תובענה ייצוגית בפרט 4א או 5 לתוספת </w:t>
      </w:r>
      <w:proofErr w:type="spellStart"/>
      <w:r w:rsidRPr="00686B45">
        <w:rPr>
          <w:rFonts w:hint="cs"/>
          <w:color w:val="000000"/>
          <w:sz w:val="26"/>
          <w:szCs w:val="26"/>
          <w:rtl/>
        </w:rPr>
        <w:t>השניה</w:t>
      </w:r>
      <w:proofErr w:type="spellEnd"/>
      <w:r w:rsidR="003B6227">
        <w:rPr>
          <w:rFonts w:hint="cs"/>
          <w:color w:val="000000"/>
          <w:sz w:val="26"/>
          <w:szCs w:val="26"/>
          <w:rtl/>
        </w:rPr>
        <w:t>, העוסקים ב</w:t>
      </w:r>
      <w:r w:rsidR="00FC78D3">
        <w:rPr>
          <w:rFonts w:hint="cs"/>
          <w:color w:val="000000"/>
          <w:sz w:val="26"/>
          <w:szCs w:val="26"/>
          <w:rtl/>
        </w:rPr>
        <w:t>עילות מתחום דיני ניירות ערך</w:t>
      </w:r>
      <w:r w:rsidRPr="00686B45">
        <w:rPr>
          <w:rFonts w:hint="cs"/>
          <w:color w:val="000000"/>
          <w:sz w:val="26"/>
          <w:szCs w:val="26"/>
          <w:rtl/>
        </w:rPr>
        <w:t xml:space="preserve"> ולקבוע כי במסגרת השיקולים המנויים בסעיף קטן (ב), יתחשב בית המשפט בבחירת התובענה המובילה גם בשיקול של מיהו התובע בעל האינטרס </w:t>
      </w:r>
      <w:r w:rsidR="0057339A">
        <w:rPr>
          <w:rFonts w:hint="cs"/>
          <w:color w:val="000000"/>
          <w:sz w:val="26"/>
          <w:szCs w:val="26"/>
          <w:rtl/>
        </w:rPr>
        <w:t>הכספי הגדול</w:t>
      </w:r>
      <w:r w:rsidRPr="00686B45">
        <w:rPr>
          <w:rFonts w:hint="cs"/>
          <w:color w:val="000000"/>
          <w:sz w:val="26"/>
          <w:szCs w:val="26"/>
          <w:rtl/>
        </w:rPr>
        <w:t xml:space="preserve"> ביותר בפיצוי </w:t>
      </w:r>
      <w:r w:rsidR="007D05F2">
        <w:rPr>
          <w:rFonts w:hint="cs"/>
          <w:color w:val="000000"/>
          <w:sz w:val="26"/>
          <w:szCs w:val="26"/>
          <w:rtl/>
        </w:rPr>
        <w:t>ש</w:t>
      </w:r>
      <w:r w:rsidRPr="00686B45">
        <w:rPr>
          <w:rFonts w:hint="cs"/>
          <w:color w:val="000000"/>
          <w:sz w:val="26"/>
          <w:szCs w:val="26"/>
          <w:rtl/>
        </w:rPr>
        <w:t>נתבע</w:t>
      </w:r>
      <w:r w:rsidR="007D05F2">
        <w:rPr>
          <w:rFonts w:hint="cs"/>
          <w:color w:val="000000"/>
          <w:sz w:val="26"/>
          <w:szCs w:val="26"/>
          <w:rtl/>
        </w:rPr>
        <w:t xml:space="preserve"> בתובענה הייצוגית</w:t>
      </w:r>
      <w:r w:rsidRPr="00686B45">
        <w:rPr>
          <w:rFonts w:hint="cs"/>
          <w:color w:val="000000"/>
          <w:sz w:val="26"/>
          <w:szCs w:val="26"/>
          <w:rtl/>
        </w:rPr>
        <w:t>.</w:t>
      </w:r>
    </w:p>
    <w:p w14:paraId="4A61E1A7" w14:textId="0CD9C567"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תיקון זה מוצע בעקבות מחקר </w:t>
      </w:r>
      <w:r w:rsidR="004A4981">
        <w:rPr>
          <w:rFonts w:hint="cs"/>
          <w:color w:val="000000"/>
          <w:sz w:val="26"/>
          <w:szCs w:val="26"/>
          <w:rtl/>
        </w:rPr>
        <w:t>שנעשה על יד ה</w:t>
      </w:r>
      <w:r w:rsidRPr="00686B45">
        <w:rPr>
          <w:color w:val="000000"/>
          <w:sz w:val="26"/>
          <w:szCs w:val="26"/>
          <w:rtl/>
        </w:rPr>
        <w:t xml:space="preserve">רשות </w:t>
      </w:r>
      <w:r w:rsidR="004A4981">
        <w:rPr>
          <w:rFonts w:hint="cs"/>
          <w:color w:val="000000"/>
          <w:sz w:val="26"/>
          <w:szCs w:val="26"/>
          <w:rtl/>
        </w:rPr>
        <w:t>ל</w:t>
      </w:r>
      <w:r w:rsidRPr="00686B45">
        <w:rPr>
          <w:color w:val="000000"/>
          <w:sz w:val="26"/>
          <w:szCs w:val="26"/>
          <w:rtl/>
        </w:rPr>
        <w:t xml:space="preserve">ניירות ערך בעניין אכיפה פרטית בדיני ניירות ערך ודיני החברות (לירון כהן דניאלי, בר כהן ורועי </w:t>
      </w:r>
      <w:proofErr w:type="spellStart"/>
      <w:r w:rsidRPr="00686B45">
        <w:rPr>
          <w:color w:val="000000"/>
          <w:sz w:val="26"/>
          <w:szCs w:val="26"/>
          <w:rtl/>
        </w:rPr>
        <w:t>קנריק</w:t>
      </w:r>
      <w:proofErr w:type="spellEnd"/>
      <w:r w:rsidRPr="00686B45">
        <w:rPr>
          <w:color w:val="000000"/>
          <w:sz w:val="26"/>
          <w:szCs w:val="26"/>
          <w:rtl/>
        </w:rPr>
        <w:t xml:space="preserve"> "אכיפה פרטית בדיני ניירות ערך ודיני החברות בראי עשור למחלקה הכלכלית בבית המשפט המחוזי בתל אביב"</w:t>
      </w:r>
      <w:r w:rsidRPr="00686B45">
        <w:rPr>
          <w:rFonts w:hint="cs"/>
          <w:color w:val="000000"/>
          <w:sz w:val="26"/>
          <w:szCs w:val="26"/>
          <w:rtl/>
        </w:rPr>
        <w:t xml:space="preserve">) שבחן, בין היתר, את </w:t>
      </w:r>
      <w:r w:rsidRPr="00686B45">
        <w:rPr>
          <w:color w:val="000000"/>
          <w:sz w:val="26"/>
          <w:szCs w:val="26"/>
          <w:rtl/>
        </w:rPr>
        <w:t xml:space="preserve">מעורבות הגופים המוסדיים באכיפה פרטית, מתוך הנחה שלגופים אלו יש יכולות מקצועיות ומשאבים מתאימים לנהל הליכים קבוצתיים. במסגרת זו נבחן המצב בארצות הברית וצוין כי ממחקרים שנערכו התברר כי </w:t>
      </w:r>
      <w:r w:rsidRPr="00686B45">
        <w:rPr>
          <w:rFonts w:hint="cs"/>
          <w:color w:val="000000"/>
          <w:sz w:val="26"/>
          <w:szCs w:val="26"/>
          <w:rtl/>
        </w:rPr>
        <w:t xml:space="preserve">בארה"ב יש מעורבות גדולה יותר של גופים מוסדיים בתובענות ייצוגיות. </w:t>
      </w:r>
      <w:r w:rsidRPr="00686B45">
        <w:rPr>
          <w:color w:val="000000"/>
          <w:sz w:val="26"/>
          <w:szCs w:val="26"/>
          <w:rtl/>
        </w:rPr>
        <w:t xml:space="preserve">במחקר צוין כי נראה שאחת הסיבות לכך היא העובדה שבארצות הברית מקנה בית המשפט את עמדת ה"תובע המוביל" למחזיק בנתח האחזקות הגדול ביותר מבין אלו שמעוניינים לשמש כתובעים. כלומר, </w:t>
      </w:r>
      <w:r w:rsidR="00EB195A">
        <w:rPr>
          <w:rFonts w:hint="cs"/>
          <w:color w:val="000000"/>
          <w:sz w:val="26"/>
          <w:szCs w:val="26"/>
          <w:rtl/>
        </w:rPr>
        <w:t xml:space="preserve">הבכורה ניתנת </w:t>
      </w:r>
      <w:r w:rsidRPr="00686B45">
        <w:rPr>
          <w:color w:val="000000"/>
          <w:sz w:val="26"/>
          <w:szCs w:val="26"/>
          <w:rtl/>
        </w:rPr>
        <w:t xml:space="preserve">לזה שיש לו את האינטרס </w:t>
      </w:r>
      <w:r w:rsidRPr="00686B45">
        <w:rPr>
          <w:color w:val="000000"/>
          <w:sz w:val="26"/>
          <w:szCs w:val="26"/>
          <w:rtl/>
        </w:rPr>
        <w:lastRenderedPageBreak/>
        <w:t xml:space="preserve">הכלכלי הממשי ביותר </w:t>
      </w:r>
      <w:r w:rsidR="004A4981">
        <w:rPr>
          <w:rFonts w:hint="cs"/>
          <w:color w:val="000000"/>
          <w:sz w:val="26"/>
          <w:szCs w:val="26"/>
          <w:rtl/>
        </w:rPr>
        <w:t>לקבל פיצוי מ</w:t>
      </w:r>
      <w:r w:rsidRPr="00686B45">
        <w:rPr>
          <w:color w:val="000000"/>
          <w:sz w:val="26"/>
          <w:szCs w:val="26"/>
          <w:rtl/>
        </w:rPr>
        <w:t>הנתבע. כלל זה נחקק במטרה לנסות לבטל את "מרוץ הגשת התובענה הקבוצתית" שהיה קיים קודם לכן, כך שתתאפשר לגורמים המוסדיים שהות לבחון אם הם מעוניינים להגיש תובענה ולנסות ולהעביר לידי בעלי המניות (בייחוד המוסדיים) את הכוח בהובלה וניהול התובענה.</w:t>
      </w:r>
    </w:p>
    <w:p w14:paraId="281A94AB" w14:textId="77777777" w:rsidR="00686B45" w:rsidRDefault="00686B45" w:rsidP="00686B45">
      <w:pPr>
        <w:rPr>
          <w:rtl/>
        </w:rPr>
      </w:pPr>
    </w:p>
    <w:p w14:paraId="1EC62529" w14:textId="6DC8AF80" w:rsidR="00686B45" w:rsidRPr="00686B45" w:rsidRDefault="00686B45" w:rsidP="00686B45">
      <w:pPr>
        <w:tabs>
          <w:tab w:val="left" w:pos="1020"/>
        </w:tabs>
        <w:autoSpaceDE w:val="0"/>
        <w:autoSpaceDN w:val="0"/>
        <w:adjustRightInd w:val="0"/>
        <w:snapToGrid w:val="0"/>
        <w:ind w:left="0"/>
        <w:contextualSpacing w:val="0"/>
        <w:textAlignment w:val="center"/>
        <w:rPr>
          <w:b/>
          <w:bCs/>
          <w:color w:val="000000"/>
          <w:sz w:val="26"/>
          <w:szCs w:val="26"/>
          <w:rtl/>
        </w:rPr>
      </w:pPr>
      <w:r w:rsidRPr="00686B45">
        <w:rPr>
          <w:rFonts w:hint="cs"/>
          <w:b/>
          <w:bCs/>
          <w:color w:val="000000"/>
          <w:sz w:val="26"/>
          <w:szCs w:val="26"/>
          <w:rtl/>
        </w:rPr>
        <w:t xml:space="preserve">סעיף </w:t>
      </w:r>
      <w:r w:rsidR="0057339A">
        <w:rPr>
          <w:rFonts w:hint="cs"/>
          <w:b/>
          <w:bCs/>
          <w:color w:val="000000"/>
          <w:sz w:val="26"/>
          <w:szCs w:val="26"/>
          <w:rtl/>
        </w:rPr>
        <w:t>8</w:t>
      </w:r>
    </w:p>
    <w:p w14:paraId="328C62D9" w14:textId="51DCD734" w:rsidR="00686B45" w:rsidRP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bookmarkStart w:id="5" w:name="_Hlk164162647"/>
      <w:r w:rsidRPr="00686B45">
        <w:rPr>
          <w:rFonts w:hint="cs"/>
          <w:color w:val="000000"/>
          <w:sz w:val="26"/>
          <w:szCs w:val="26"/>
          <w:rtl/>
        </w:rPr>
        <w:t>תיקון זה נועד להתמודד עם מקרים ייחודיים של חוזים ארוכי טווח בתחום הביטוח</w:t>
      </w:r>
      <w:r w:rsidR="0080135F">
        <w:rPr>
          <w:rFonts w:hint="cs"/>
          <w:color w:val="000000"/>
          <w:sz w:val="26"/>
          <w:szCs w:val="26"/>
          <w:rtl/>
        </w:rPr>
        <w:t xml:space="preserve"> והחיסכון הפנסיוני</w:t>
      </w:r>
      <w:r w:rsidRPr="00686B45">
        <w:rPr>
          <w:rFonts w:hint="cs"/>
          <w:color w:val="000000"/>
          <w:sz w:val="26"/>
          <w:szCs w:val="26"/>
          <w:rtl/>
        </w:rPr>
        <w:t>, המפוקח באופן הדוק על ידי המאסדר</w:t>
      </w:r>
      <w:r w:rsidR="0080135F">
        <w:rPr>
          <w:rFonts w:hint="cs"/>
          <w:color w:val="000000"/>
          <w:sz w:val="26"/>
          <w:szCs w:val="26"/>
          <w:rtl/>
        </w:rPr>
        <w:t xml:space="preserve"> </w:t>
      </w:r>
      <w:r w:rsidR="0080135F">
        <w:rPr>
          <w:color w:val="000000"/>
          <w:sz w:val="26"/>
          <w:szCs w:val="26"/>
          <w:rtl/>
        </w:rPr>
        <w:t>–</w:t>
      </w:r>
      <w:r w:rsidR="0080135F">
        <w:rPr>
          <w:rFonts w:hint="cs"/>
          <w:color w:val="000000"/>
          <w:sz w:val="26"/>
          <w:szCs w:val="26"/>
          <w:rtl/>
        </w:rPr>
        <w:t xml:space="preserve"> רשות שוק ההון, ביטוח וחיסכון</w:t>
      </w:r>
      <w:r w:rsidRPr="00686B45">
        <w:rPr>
          <w:rFonts w:hint="cs"/>
          <w:color w:val="000000"/>
          <w:sz w:val="26"/>
          <w:szCs w:val="26"/>
          <w:rtl/>
        </w:rPr>
        <w:t>, שנחתמו בסביבה רגולטורית ומשפטית שונה מ</w:t>
      </w:r>
      <w:r w:rsidR="00EB195A">
        <w:rPr>
          <w:rFonts w:hint="cs"/>
          <w:color w:val="000000"/>
          <w:sz w:val="26"/>
          <w:szCs w:val="26"/>
          <w:rtl/>
        </w:rPr>
        <w:t xml:space="preserve">זו הקיימת </w:t>
      </w:r>
      <w:r w:rsidRPr="00686B45">
        <w:rPr>
          <w:rFonts w:hint="cs"/>
          <w:color w:val="000000"/>
          <w:sz w:val="26"/>
          <w:szCs w:val="26"/>
          <w:rtl/>
        </w:rPr>
        <w:t>היום</w:t>
      </w:r>
      <w:r w:rsidR="00BF2A8A">
        <w:rPr>
          <w:rFonts w:hint="cs"/>
          <w:color w:val="000000"/>
          <w:sz w:val="26"/>
          <w:szCs w:val="26"/>
          <w:rtl/>
        </w:rPr>
        <w:t xml:space="preserve">. </w:t>
      </w:r>
      <w:r w:rsidRPr="00686B45">
        <w:rPr>
          <w:rFonts w:hint="cs"/>
          <w:color w:val="000000"/>
          <w:sz w:val="26"/>
          <w:szCs w:val="26"/>
          <w:rtl/>
        </w:rPr>
        <w:t xml:space="preserve">במקרים רבים קיימות מגבלות על היכולת לשנות </w:t>
      </w:r>
      <w:r w:rsidR="00BF2A8A">
        <w:rPr>
          <w:rFonts w:hint="cs"/>
          <w:color w:val="000000"/>
          <w:sz w:val="26"/>
          <w:szCs w:val="26"/>
          <w:rtl/>
        </w:rPr>
        <w:t>חוזים אלו</w:t>
      </w:r>
      <w:r w:rsidRPr="00686B45">
        <w:rPr>
          <w:rFonts w:hint="cs"/>
          <w:color w:val="000000"/>
          <w:sz w:val="26"/>
          <w:szCs w:val="26"/>
          <w:rtl/>
        </w:rPr>
        <w:t xml:space="preserve"> באופן חד צדדי לאורך תקופת החוזה</w:t>
      </w:r>
      <w:r w:rsidR="00923EB4">
        <w:rPr>
          <w:rFonts w:hint="cs"/>
          <w:color w:val="000000"/>
          <w:sz w:val="26"/>
          <w:szCs w:val="26"/>
          <w:rtl/>
        </w:rPr>
        <w:t xml:space="preserve">, </w:t>
      </w:r>
      <w:r w:rsidRPr="00686B45">
        <w:rPr>
          <w:rFonts w:hint="cs"/>
          <w:color w:val="000000"/>
          <w:sz w:val="26"/>
          <w:szCs w:val="26"/>
          <w:rtl/>
        </w:rPr>
        <w:t xml:space="preserve">כאשר חלק מהתנאים בחוזה אינם מותאמים למציאות העכשווית וכאשר בחלק מהמקרים קיים אישור </w:t>
      </w:r>
      <w:proofErr w:type="spellStart"/>
      <w:r w:rsidRPr="00686B45">
        <w:rPr>
          <w:rFonts w:hint="cs"/>
          <w:color w:val="000000"/>
          <w:sz w:val="26"/>
          <w:szCs w:val="26"/>
          <w:rtl/>
        </w:rPr>
        <w:t>אסדרתי</w:t>
      </w:r>
      <w:proofErr w:type="spellEnd"/>
      <w:r w:rsidRPr="00686B45">
        <w:rPr>
          <w:rFonts w:hint="cs"/>
          <w:color w:val="000000"/>
          <w:sz w:val="26"/>
          <w:szCs w:val="26"/>
          <w:rtl/>
        </w:rPr>
        <w:t xml:space="preserve"> מפורש </w:t>
      </w:r>
      <w:r w:rsidR="00EB195A">
        <w:rPr>
          <w:rFonts w:hint="cs"/>
          <w:color w:val="000000"/>
          <w:sz w:val="26"/>
          <w:szCs w:val="26"/>
          <w:rtl/>
        </w:rPr>
        <w:t xml:space="preserve">בכתב שניתן </w:t>
      </w:r>
      <w:r w:rsidRPr="00686B45">
        <w:rPr>
          <w:rFonts w:hint="cs"/>
          <w:color w:val="000000"/>
          <w:sz w:val="26"/>
          <w:szCs w:val="26"/>
          <w:rtl/>
        </w:rPr>
        <w:t xml:space="preserve">לחוזה או </w:t>
      </w:r>
      <w:r w:rsidR="00EB195A">
        <w:rPr>
          <w:rFonts w:hint="cs"/>
          <w:color w:val="000000"/>
          <w:sz w:val="26"/>
          <w:szCs w:val="26"/>
          <w:rtl/>
        </w:rPr>
        <w:t>ל</w:t>
      </w:r>
      <w:r w:rsidR="00EB195A" w:rsidRPr="00686B45">
        <w:rPr>
          <w:rFonts w:hint="cs"/>
          <w:color w:val="000000"/>
          <w:sz w:val="26"/>
          <w:szCs w:val="26"/>
          <w:rtl/>
        </w:rPr>
        <w:t xml:space="preserve">פעילות </w:t>
      </w:r>
      <w:r w:rsidRPr="00686B45">
        <w:rPr>
          <w:rFonts w:hint="cs"/>
          <w:color w:val="000000"/>
          <w:sz w:val="26"/>
          <w:szCs w:val="26"/>
          <w:rtl/>
        </w:rPr>
        <w:t xml:space="preserve">בעניין נשוא הבקשה. ישנם מקרים </w:t>
      </w:r>
      <w:r w:rsidR="00EB195A">
        <w:rPr>
          <w:rFonts w:hint="cs"/>
          <w:color w:val="000000"/>
          <w:sz w:val="26"/>
          <w:szCs w:val="26"/>
          <w:rtl/>
        </w:rPr>
        <w:t xml:space="preserve">העונים למאפיינים שתוארו לעיל </w:t>
      </w:r>
      <w:r w:rsidRPr="00686B45">
        <w:rPr>
          <w:rFonts w:hint="cs"/>
          <w:color w:val="000000"/>
          <w:sz w:val="26"/>
          <w:szCs w:val="26"/>
          <w:rtl/>
        </w:rPr>
        <w:t xml:space="preserve">שבהם אין הצדקה לניהול התובענה הייצוגית שכן זוהי אינה הדרך היעילה וההוגנת להכרעה במחלוקת. </w:t>
      </w:r>
    </w:p>
    <w:p w14:paraId="4EB8E736" w14:textId="2038D456" w:rsidR="00686B45" w:rsidRDefault="00686B45" w:rsidP="009A5809">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על כן, מוצע כי ייקבע כי בבקשה לאישור נגד מבטח או חברה מנהלת שעילתה היא הפרת חוזה ארוך טווח, ישקול בית המשפט במסגרת החלטתו האם לאשר את התובענה הייצוגית</w:t>
      </w:r>
      <w:r w:rsidR="00FC78D3">
        <w:rPr>
          <w:rFonts w:hint="cs"/>
          <w:color w:val="000000"/>
          <w:sz w:val="26"/>
          <w:szCs w:val="26"/>
          <w:rtl/>
        </w:rPr>
        <w:t xml:space="preserve"> </w:t>
      </w:r>
      <w:r w:rsidR="00EB195A">
        <w:rPr>
          <w:rFonts w:hint="cs"/>
          <w:color w:val="000000"/>
          <w:sz w:val="26"/>
          <w:szCs w:val="26"/>
          <w:rtl/>
        </w:rPr>
        <w:t>(</w:t>
      </w:r>
      <w:r w:rsidRPr="00686B45">
        <w:rPr>
          <w:rFonts w:hint="cs"/>
          <w:color w:val="000000"/>
          <w:sz w:val="26"/>
          <w:szCs w:val="26"/>
          <w:rtl/>
        </w:rPr>
        <w:t xml:space="preserve">לעניין התנאי הקבוע בסעיף 8(א)(2) לחוק </w:t>
      </w:r>
      <w:r w:rsidR="00AF7FEF">
        <w:rPr>
          <w:rFonts w:hint="cs"/>
          <w:color w:val="000000"/>
          <w:sz w:val="26"/>
          <w:szCs w:val="26"/>
          <w:rtl/>
        </w:rPr>
        <w:t xml:space="preserve">כי </w:t>
      </w:r>
      <w:r w:rsidRPr="00686B45">
        <w:rPr>
          <w:rFonts w:hint="cs"/>
          <w:color w:val="000000"/>
          <w:sz w:val="26"/>
          <w:szCs w:val="26"/>
          <w:rtl/>
        </w:rPr>
        <w:t>ה</w:t>
      </w:r>
      <w:r w:rsidRPr="00686B45">
        <w:rPr>
          <w:color w:val="000000"/>
          <w:sz w:val="26"/>
          <w:szCs w:val="26"/>
          <w:rtl/>
        </w:rPr>
        <w:t xml:space="preserve">תובענה ייצוגית היא הדרך היעילה וההוגנת להכרעה במחלוקת בנסיבות </w:t>
      </w:r>
      <w:proofErr w:type="spellStart"/>
      <w:r w:rsidRPr="00686B45">
        <w:rPr>
          <w:color w:val="000000"/>
          <w:sz w:val="26"/>
          <w:szCs w:val="26"/>
          <w:rtl/>
        </w:rPr>
        <w:t>הענין</w:t>
      </w:r>
      <w:proofErr w:type="spellEnd"/>
      <w:r w:rsidR="00EB195A">
        <w:rPr>
          <w:rFonts w:hint="cs"/>
          <w:color w:val="000000"/>
          <w:sz w:val="26"/>
          <w:szCs w:val="26"/>
          <w:rtl/>
        </w:rPr>
        <w:t>)</w:t>
      </w:r>
      <w:r w:rsidRPr="00686B45">
        <w:rPr>
          <w:rFonts w:hint="cs"/>
          <w:color w:val="000000"/>
          <w:sz w:val="26"/>
          <w:szCs w:val="26"/>
          <w:rtl/>
        </w:rPr>
        <w:t xml:space="preserve">, גם מספר שיקולים נוספים הנוגעים למקרים ייחודיים אלו. כך, בין היתר, ישקול בית המשפט את קיומו של אישור </w:t>
      </w:r>
      <w:proofErr w:type="spellStart"/>
      <w:r w:rsidRPr="00686B45">
        <w:rPr>
          <w:rFonts w:hint="cs"/>
          <w:color w:val="000000"/>
          <w:sz w:val="26"/>
          <w:szCs w:val="26"/>
          <w:rtl/>
        </w:rPr>
        <w:t>אסדרתי</w:t>
      </w:r>
      <w:proofErr w:type="spellEnd"/>
      <w:r w:rsidRPr="00686B45">
        <w:rPr>
          <w:rFonts w:hint="cs"/>
          <w:color w:val="000000"/>
          <w:sz w:val="26"/>
          <w:szCs w:val="26"/>
          <w:rtl/>
        </w:rPr>
        <w:t xml:space="preserve"> מפורש </w:t>
      </w:r>
      <w:r w:rsidR="00AF7FEF">
        <w:rPr>
          <w:rFonts w:hint="cs"/>
          <w:color w:val="000000"/>
          <w:sz w:val="26"/>
          <w:szCs w:val="26"/>
          <w:rtl/>
        </w:rPr>
        <w:t xml:space="preserve">שניתן </w:t>
      </w:r>
      <w:r w:rsidRPr="00686B45">
        <w:rPr>
          <w:rFonts w:hint="cs"/>
          <w:color w:val="000000"/>
          <w:sz w:val="26"/>
          <w:szCs w:val="26"/>
          <w:rtl/>
        </w:rPr>
        <w:t>בכתב לחוזה או לפעילות</w:t>
      </w:r>
      <w:r w:rsidR="003826EA">
        <w:rPr>
          <w:rFonts w:hint="cs"/>
          <w:color w:val="000000"/>
          <w:sz w:val="26"/>
          <w:szCs w:val="26"/>
          <w:rtl/>
        </w:rPr>
        <w:t>. כאשר בהקשר זה יצוין כי הכוונה היא לאיש</w:t>
      </w:r>
      <w:r w:rsidR="00B653E7">
        <w:rPr>
          <w:rFonts w:hint="cs"/>
          <w:color w:val="000000"/>
          <w:sz w:val="26"/>
          <w:szCs w:val="26"/>
          <w:rtl/>
        </w:rPr>
        <w:t>ור רשמי מגורם מוסמך ולא לאישור שניתן באופן שאינו פורמלי (ראו למשל ב</w:t>
      </w:r>
      <w:r w:rsidR="00B653E7" w:rsidRPr="009A5809">
        <w:rPr>
          <w:color w:val="000000"/>
          <w:sz w:val="26"/>
          <w:szCs w:val="26"/>
          <w:rtl/>
        </w:rPr>
        <w:t>ע"א 9294/16 אושרת שמעון נ' חברת איי די איי חברה לביטוח בע"מ (</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00B653E7" w:rsidRPr="009A5809">
        <w:rPr>
          <w:color w:val="000000"/>
          <w:sz w:val="26"/>
          <w:szCs w:val="26"/>
          <w:rtl/>
        </w:rPr>
        <w:t xml:space="preserve"> 04.02.2020)</w:t>
      </w:r>
      <w:r w:rsidR="00B653E7">
        <w:rPr>
          <w:rFonts w:hint="cs"/>
          <w:color w:val="000000"/>
          <w:sz w:val="26"/>
          <w:szCs w:val="26"/>
          <w:rtl/>
        </w:rPr>
        <w:t xml:space="preserve"> שם התייחס בית המשפט העליון לקשיי הסתמכות העולים מאופי המסמכים שמהם נלמדה עמדת המאסדר</w:t>
      </w:r>
      <w:r w:rsidR="0080135F">
        <w:rPr>
          <w:rFonts w:hint="cs"/>
          <w:color w:val="000000"/>
          <w:sz w:val="26"/>
          <w:szCs w:val="26"/>
          <w:rtl/>
        </w:rPr>
        <w:t>)</w:t>
      </w:r>
      <w:r w:rsidR="00B653E7">
        <w:rPr>
          <w:rFonts w:hint="cs"/>
          <w:color w:val="000000"/>
          <w:sz w:val="26"/>
          <w:szCs w:val="26"/>
          <w:rtl/>
        </w:rPr>
        <w:t>.</w:t>
      </w:r>
      <w:r w:rsidR="009A5809">
        <w:rPr>
          <w:rFonts w:hint="cs"/>
          <w:color w:val="000000"/>
          <w:sz w:val="26"/>
          <w:szCs w:val="26"/>
          <w:rtl/>
        </w:rPr>
        <w:t xml:space="preserve"> עוד מוצע כי בית המשפט ישקול בנוסף את </w:t>
      </w:r>
      <w:r w:rsidR="009A5809" w:rsidRPr="009A5809">
        <w:rPr>
          <w:rFonts w:hint="cs"/>
          <w:color w:val="000000"/>
          <w:sz w:val="26"/>
          <w:szCs w:val="26"/>
          <w:rtl/>
        </w:rPr>
        <w:t>עצמת הפגיעה בנתבע אם תאושר הבקשה ואינטרס חברי הקבוצה באישור הבקשה</w:t>
      </w:r>
      <w:r w:rsidR="009A5809">
        <w:rPr>
          <w:rFonts w:hint="cs"/>
          <w:color w:val="000000"/>
          <w:sz w:val="26"/>
          <w:szCs w:val="26"/>
          <w:rtl/>
        </w:rPr>
        <w:t xml:space="preserve">, </w:t>
      </w:r>
      <w:r w:rsidRPr="00686B45">
        <w:rPr>
          <w:rFonts w:hint="cs"/>
          <w:color w:val="000000"/>
          <w:sz w:val="26"/>
          <w:szCs w:val="26"/>
          <w:rtl/>
        </w:rPr>
        <w:t>את משך הזמן שחלף מעת שנחתם החוזה והקושי בהבאת ראיות הנוגעות לעניין לאור חלוף הזמן וכן את שינויי החקיקה וכללי האסדרה מעת שנחתם החוזה</w:t>
      </w:r>
      <w:r w:rsidR="00BF2A8A">
        <w:rPr>
          <w:rFonts w:hint="cs"/>
          <w:color w:val="000000"/>
          <w:sz w:val="26"/>
          <w:szCs w:val="26"/>
          <w:rtl/>
        </w:rPr>
        <w:t xml:space="preserve"> </w:t>
      </w:r>
      <w:r w:rsidR="00AF7FEF">
        <w:rPr>
          <w:rFonts w:hint="cs"/>
          <w:color w:val="000000"/>
          <w:sz w:val="26"/>
          <w:szCs w:val="26"/>
          <w:rtl/>
        </w:rPr>
        <w:t xml:space="preserve">אשר רלוונטיים </w:t>
      </w:r>
      <w:r w:rsidR="00BF2A8A">
        <w:rPr>
          <w:rFonts w:hint="cs"/>
          <w:color w:val="000000"/>
          <w:sz w:val="26"/>
          <w:szCs w:val="26"/>
          <w:rtl/>
        </w:rPr>
        <w:t>לעילת התביעה ול</w:t>
      </w:r>
      <w:r w:rsidR="000D153A">
        <w:rPr>
          <w:rFonts w:hint="cs"/>
          <w:color w:val="000000"/>
          <w:sz w:val="26"/>
          <w:szCs w:val="26"/>
          <w:rtl/>
        </w:rPr>
        <w:t>נשוא הבקשה</w:t>
      </w:r>
      <w:r w:rsidRPr="00686B45">
        <w:rPr>
          <w:rFonts w:hint="cs"/>
          <w:color w:val="000000"/>
          <w:sz w:val="26"/>
          <w:szCs w:val="26"/>
          <w:rtl/>
        </w:rPr>
        <w:t xml:space="preserve">. </w:t>
      </w:r>
    </w:p>
    <w:p w14:paraId="0F3FE47D" w14:textId="0C91BC84" w:rsidR="000F26C4" w:rsidRPr="00686B45" w:rsidRDefault="000F26C4" w:rsidP="000F26C4">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כפי שצוין בסעיף ההגדרות, מוצע להגדיר חוזה ארוך טווח כחוזה שתוקפו אינו מוגבל או חוזה לתקופה העולה על עשרים שנה ואשר נכרת </w:t>
      </w:r>
      <w:r w:rsidRPr="000F26C4">
        <w:rPr>
          <w:rFonts w:hint="cs"/>
          <w:color w:val="000000"/>
          <w:sz w:val="26"/>
          <w:szCs w:val="26"/>
          <w:rtl/>
        </w:rPr>
        <w:t>עד ליום</w:t>
      </w:r>
      <w:r w:rsidR="0080135F">
        <w:rPr>
          <w:rFonts w:hint="cs"/>
          <w:color w:val="000000"/>
          <w:sz w:val="26"/>
          <w:szCs w:val="26"/>
          <w:rtl/>
        </w:rPr>
        <w:t xml:space="preserve"> י' בטבת </w:t>
      </w:r>
      <w:proofErr w:type="spellStart"/>
      <w:r w:rsidR="0080135F">
        <w:rPr>
          <w:rFonts w:hint="cs"/>
          <w:color w:val="000000"/>
          <w:sz w:val="26"/>
          <w:szCs w:val="26"/>
          <w:rtl/>
        </w:rPr>
        <w:t>התשע"ה</w:t>
      </w:r>
      <w:proofErr w:type="spellEnd"/>
      <w:r w:rsidR="0080135F">
        <w:rPr>
          <w:rFonts w:hint="cs"/>
          <w:color w:val="000000"/>
          <w:sz w:val="26"/>
          <w:szCs w:val="26"/>
          <w:rtl/>
        </w:rPr>
        <w:t xml:space="preserve"> (1 בינואר 2015)</w:t>
      </w:r>
      <w:r>
        <w:rPr>
          <w:rFonts w:hint="cs"/>
          <w:color w:val="000000"/>
          <w:sz w:val="26"/>
          <w:szCs w:val="26"/>
          <w:rtl/>
        </w:rPr>
        <w:t xml:space="preserve">, שהוא יום כניסתו לתוקף של תיקון מס' 28 לחוק </w:t>
      </w:r>
      <w:r w:rsidRPr="000F26C4">
        <w:rPr>
          <w:color w:val="000000"/>
          <w:sz w:val="26"/>
          <w:szCs w:val="26"/>
          <w:rtl/>
        </w:rPr>
        <w:t>הפיקוח על שירותים פיננסיים (ביטוח), תשמ"א-1981</w:t>
      </w:r>
      <w:r>
        <w:rPr>
          <w:rFonts w:hint="cs"/>
          <w:color w:val="000000"/>
          <w:sz w:val="26"/>
          <w:szCs w:val="26"/>
          <w:rtl/>
        </w:rPr>
        <w:t xml:space="preserve"> (ס"ח 2481) </w:t>
      </w:r>
      <w:r w:rsidRPr="000F26C4">
        <w:rPr>
          <w:color w:val="000000"/>
          <w:sz w:val="26"/>
          <w:szCs w:val="26"/>
          <w:rtl/>
        </w:rPr>
        <w:t>שקבע מנגנון של אי התנגדות לאישור ת</w:t>
      </w:r>
      <w:r>
        <w:rPr>
          <w:rFonts w:hint="cs"/>
          <w:color w:val="000000"/>
          <w:sz w:val="26"/>
          <w:szCs w:val="26"/>
          <w:rtl/>
        </w:rPr>
        <w:t>ו</w:t>
      </w:r>
      <w:r w:rsidRPr="000F26C4">
        <w:rPr>
          <w:color w:val="000000"/>
          <w:sz w:val="26"/>
          <w:szCs w:val="26"/>
          <w:rtl/>
        </w:rPr>
        <w:t>כניות ביטוח</w:t>
      </w:r>
      <w:r>
        <w:rPr>
          <w:rFonts w:hint="cs"/>
          <w:color w:val="000000"/>
          <w:sz w:val="26"/>
          <w:szCs w:val="26"/>
          <w:rtl/>
        </w:rPr>
        <w:t xml:space="preserve">. זאת מכיוון שמטרת המעבר מאישור תוכניות ביטוח לאי התנגדות כאמור, </w:t>
      </w:r>
      <w:proofErr w:type="spellStart"/>
      <w:r>
        <w:rPr>
          <w:rFonts w:hint="cs"/>
          <w:color w:val="000000"/>
          <w:sz w:val="26"/>
          <w:szCs w:val="26"/>
          <w:rtl/>
        </w:rPr>
        <w:t>היתה</w:t>
      </w:r>
      <w:proofErr w:type="spellEnd"/>
      <w:r>
        <w:rPr>
          <w:rFonts w:hint="cs"/>
          <w:color w:val="000000"/>
          <w:sz w:val="26"/>
          <w:szCs w:val="26"/>
          <w:rtl/>
        </w:rPr>
        <w:t xml:space="preserve">, בין היתר, להגדיל את מידת האחריות של המבטחים לגבי </w:t>
      </w:r>
      <w:proofErr w:type="spellStart"/>
      <w:r>
        <w:rPr>
          <w:rFonts w:hint="cs"/>
          <w:color w:val="000000"/>
          <w:sz w:val="26"/>
          <w:szCs w:val="26"/>
          <w:rtl/>
        </w:rPr>
        <w:t>תכניות</w:t>
      </w:r>
      <w:proofErr w:type="spellEnd"/>
      <w:r>
        <w:rPr>
          <w:rFonts w:hint="cs"/>
          <w:color w:val="000000"/>
          <w:sz w:val="26"/>
          <w:szCs w:val="26"/>
          <w:rtl/>
        </w:rPr>
        <w:t xml:space="preserve"> הביטוח שאותן הם מנהיגים (ראו דברי ההסבר להצעת חוק הפיקוח על שירותים פיננסים (תיקוני חקיקה), התשע"ב-2012, הצעות חוק הממשלה מס' 704</w:t>
      </w:r>
      <w:r w:rsidR="0080135F">
        <w:rPr>
          <w:rFonts w:hint="cs"/>
          <w:color w:val="000000"/>
          <w:sz w:val="26"/>
          <w:szCs w:val="26"/>
          <w:rtl/>
        </w:rPr>
        <w:t xml:space="preserve">). </w:t>
      </w:r>
    </w:p>
    <w:p w14:paraId="268AEE4B" w14:textId="037E9A38" w:rsidR="00686B45" w:rsidRDefault="00686B45" w:rsidP="00686B45">
      <w:pPr>
        <w:tabs>
          <w:tab w:val="left" w:pos="1020"/>
        </w:tabs>
        <w:autoSpaceDE w:val="0"/>
        <w:autoSpaceDN w:val="0"/>
        <w:adjustRightInd w:val="0"/>
        <w:snapToGrid w:val="0"/>
        <w:ind w:left="0"/>
        <w:contextualSpacing w:val="0"/>
        <w:textAlignment w:val="center"/>
        <w:rPr>
          <w:color w:val="000000"/>
          <w:sz w:val="26"/>
          <w:szCs w:val="26"/>
          <w:rtl/>
        </w:rPr>
      </w:pPr>
      <w:r w:rsidRPr="00686B45">
        <w:rPr>
          <w:rFonts w:hint="cs"/>
          <w:color w:val="000000"/>
          <w:sz w:val="26"/>
          <w:szCs w:val="26"/>
          <w:rtl/>
        </w:rPr>
        <w:t xml:space="preserve">לאור משמעות התיקון לפיו ישקול בית המשפט במקרים המתאימים שלא לאשר תובענה ייצוגית כנגד מבטח בשל התקיימות תנאים אלו, מוצע לקבוע כי </w:t>
      </w:r>
      <w:r w:rsidR="00D033EF">
        <w:rPr>
          <w:rFonts w:hint="cs"/>
          <w:color w:val="000000"/>
          <w:sz w:val="26"/>
          <w:szCs w:val="26"/>
          <w:rtl/>
        </w:rPr>
        <w:t>ליועץ המשפטי לממשלה תהיה אפשרות להגיב על בקשה זו, ככל שבית המשפט לא מצא לדחותה על הסף.</w:t>
      </w:r>
    </w:p>
    <w:bookmarkEnd w:id="5"/>
    <w:p w14:paraId="25CDE4FD" w14:textId="77777777" w:rsidR="004551A7" w:rsidRPr="00686B45" w:rsidRDefault="004551A7" w:rsidP="00686B45">
      <w:pPr>
        <w:tabs>
          <w:tab w:val="left" w:pos="1020"/>
        </w:tabs>
        <w:autoSpaceDE w:val="0"/>
        <w:autoSpaceDN w:val="0"/>
        <w:adjustRightInd w:val="0"/>
        <w:snapToGrid w:val="0"/>
        <w:ind w:left="0"/>
        <w:contextualSpacing w:val="0"/>
        <w:textAlignment w:val="center"/>
        <w:rPr>
          <w:color w:val="000000"/>
          <w:sz w:val="26"/>
          <w:szCs w:val="26"/>
          <w:rtl/>
        </w:rPr>
      </w:pPr>
    </w:p>
    <w:p w14:paraId="0601BF8E" w14:textId="5788D8D5" w:rsidR="00C33EDC" w:rsidRDefault="00C33EDC" w:rsidP="00C33EDC">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סעי</w:t>
      </w:r>
      <w:r w:rsidR="004551A7">
        <w:rPr>
          <w:rFonts w:hint="cs"/>
          <w:b/>
          <w:bCs/>
          <w:color w:val="000000"/>
          <w:sz w:val="26"/>
          <w:szCs w:val="26"/>
          <w:rtl/>
        </w:rPr>
        <w:t>פים</w:t>
      </w:r>
      <w:r>
        <w:rPr>
          <w:rFonts w:hint="cs"/>
          <w:b/>
          <w:bCs/>
          <w:color w:val="000000"/>
          <w:sz w:val="26"/>
          <w:szCs w:val="26"/>
          <w:rtl/>
        </w:rPr>
        <w:t xml:space="preserve"> </w:t>
      </w:r>
      <w:r w:rsidR="0057339A">
        <w:rPr>
          <w:rFonts w:hint="cs"/>
          <w:b/>
          <w:bCs/>
          <w:color w:val="000000"/>
          <w:sz w:val="26"/>
          <w:szCs w:val="26"/>
          <w:rtl/>
        </w:rPr>
        <w:t>9</w:t>
      </w:r>
      <w:r w:rsidR="004553A1">
        <w:rPr>
          <w:rFonts w:hint="cs"/>
          <w:b/>
          <w:bCs/>
          <w:color w:val="000000"/>
          <w:sz w:val="26"/>
          <w:szCs w:val="26"/>
          <w:rtl/>
        </w:rPr>
        <w:t xml:space="preserve">, </w:t>
      </w:r>
      <w:r w:rsidR="0057339A">
        <w:rPr>
          <w:rFonts w:hint="cs"/>
          <w:b/>
          <w:bCs/>
          <w:color w:val="000000"/>
          <w:sz w:val="26"/>
          <w:szCs w:val="26"/>
          <w:rtl/>
        </w:rPr>
        <w:t>15</w:t>
      </w:r>
      <w:r w:rsidR="004553A1">
        <w:rPr>
          <w:rFonts w:hint="cs"/>
          <w:b/>
          <w:bCs/>
          <w:color w:val="000000"/>
          <w:sz w:val="26"/>
          <w:szCs w:val="26"/>
          <w:rtl/>
        </w:rPr>
        <w:t xml:space="preserve"> ו-</w:t>
      </w:r>
      <w:r w:rsidR="00C655D1">
        <w:rPr>
          <w:rFonts w:hint="cs"/>
          <w:b/>
          <w:bCs/>
          <w:color w:val="000000"/>
          <w:sz w:val="26"/>
          <w:szCs w:val="26"/>
          <w:rtl/>
        </w:rPr>
        <w:t>24</w:t>
      </w:r>
    </w:p>
    <w:p w14:paraId="0D7227B5" w14:textId="14717A34" w:rsidR="004553A1" w:rsidRPr="004553A1" w:rsidRDefault="004553A1" w:rsidP="00923EB4">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לצד </w:t>
      </w:r>
      <w:r w:rsidRPr="00EE0B04">
        <w:rPr>
          <w:color w:val="000000"/>
          <w:sz w:val="26"/>
          <w:szCs w:val="26"/>
          <w:rtl/>
        </w:rPr>
        <w:t xml:space="preserve">האפשרות הקבועה בפרט 11 לתוספת </w:t>
      </w:r>
      <w:proofErr w:type="spellStart"/>
      <w:r w:rsidRPr="00EE0B04">
        <w:rPr>
          <w:color w:val="000000"/>
          <w:sz w:val="26"/>
          <w:szCs w:val="26"/>
          <w:rtl/>
        </w:rPr>
        <w:t>השניה</w:t>
      </w:r>
      <w:proofErr w:type="spellEnd"/>
      <w:r w:rsidRPr="00EE0B04">
        <w:rPr>
          <w:color w:val="000000"/>
          <w:sz w:val="26"/>
          <w:szCs w:val="26"/>
          <w:rtl/>
        </w:rPr>
        <w:t xml:space="preserve"> לחוק תובענות ייצוגיות, של הגשת תובענה ייצוגית נגד </w:t>
      </w:r>
      <w:r w:rsidRPr="00EE0B04">
        <w:rPr>
          <w:color w:val="000000"/>
          <w:sz w:val="26"/>
          <w:szCs w:val="26"/>
          <w:rtl/>
        </w:rPr>
        <w:lastRenderedPageBreak/>
        <w:t xml:space="preserve">רשות, מקנה </w:t>
      </w:r>
      <w:r>
        <w:rPr>
          <w:rFonts w:hint="cs"/>
          <w:color w:val="000000"/>
          <w:sz w:val="26"/>
          <w:szCs w:val="26"/>
          <w:rtl/>
        </w:rPr>
        <w:t>ה</w:t>
      </w:r>
      <w:r w:rsidRPr="00EE0B04">
        <w:rPr>
          <w:color w:val="000000"/>
          <w:sz w:val="26"/>
          <w:szCs w:val="26"/>
          <w:rtl/>
        </w:rPr>
        <w:t>חוק הגנות שונות לרשות כאשר היא נתבעת בתובענה ייצוגית, ובין השאר</w:t>
      </w:r>
      <w:r>
        <w:rPr>
          <w:rFonts w:hint="cs"/>
          <w:color w:val="000000"/>
          <w:sz w:val="26"/>
          <w:szCs w:val="26"/>
          <w:rtl/>
        </w:rPr>
        <w:t xml:space="preserve">, </w:t>
      </w:r>
      <w:r w:rsidRPr="00EE0B04">
        <w:rPr>
          <w:color w:val="000000"/>
          <w:sz w:val="26"/>
          <w:szCs w:val="26"/>
          <w:rtl/>
        </w:rPr>
        <w:t xml:space="preserve">מתן אפשרות לרשות להודיע, בתוך 90 יום מהמועד שבו הוגשה הבקשה לאישור התובענה כייצוגית, כי היא </w:t>
      </w:r>
      <w:proofErr w:type="spellStart"/>
      <w:r w:rsidRPr="00EE0B04">
        <w:rPr>
          <w:color w:val="000000"/>
          <w:sz w:val="26"/>
          <w:szCs w:val="26"/>
          <w:rtl/>
        </w:rPr>
        <w:t>חודלת</w:t>
      </w:r>
      <w:proofErr w:type="spellEnd"/>
      <w:r w:rsidRPr="00EE0B04">
        <w:rPr>
          <w:color w:val="000000"/>
          <w:sz w:val="26"/>
          <w:szCs w:val="26"/>
          <w:rtl/>
        </w:rPr>
        <w:t xml:space="preserve"> </w:t>
      </w:r>
      <w:r w:rsidR="00923EB4">
        <w:rPr>
          <w:rFonts w:hint="cs"/>
          <w:color w:val="000000"/>
          <w:sz w:val="26"/>
          <w:szCs w:val="26"/>
          <w:rtl/>
        </w:rPr>
        <w:t>מגביית</w:t>
      </w:r>
      <w:r w:rsidRPr="00EE0B04">
        <w:rPr>
          <w:color w:val="000000"/>
          <w:sz w:val="26"/>
          <w:szCs w:val="26"/>
          <w:rtl/>
        </w:rPr>
        <w:t xml:space="preserve"> הסכומים שבשל</w:t>
      </w:r>
      <w:r w:rsidR="00923EB4">
        <w:rPr>
          <w:rFonts w:hint="cs"/>
          <w:color w:val="000000"/>
          <w:sz w:val="26"/>
          <w:szCs w:val="26"/>
          <w:rtl/>
        </w:rPr>
        <w:t>ם</w:t>
      </w:r>
      <w:r w:rsidRPr="00EE0B04">
        <w:rPr>
          <w:color w:val="000000"/>
          <w:sz w:val="26"/>
          <w:szCs w:val="26"/>
          <w:rtl/>
        </w:rPr>
        <w:t xml:space="preserve"> הוגשה הבקשה לאישור</w:t>
      </w:r>
      <w:r w:rsidR="00923EB4">
        <w:rPr>
          <w:rFonts w:hint="cs"/>
          <w:color w:val="000000"/>
          <w:sz w:val="26"/>
          <w:szCs w:val="26"/>
          <w:rtl/>
        </w:rPr>
        <w:t>. אם הודיעה הרשות על חדילה כאמור והוכח לבית המשפט כי היא חדלה מהגבייה שנטען שהיא לא כדין, הבקשה לאישור שהוגשה נגדה לא תאושר.</w:t>
      </w:r>
    </w:p>
    <w:p w14:paraId="719DBB32" w14:textId="77777777" w:rsidR="004553A1" w:rsidRDefault="004553A1" w:rsidP="00C33EDC">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לפסקה (1)</w:t>
      </w:r>
    </w:p>
    <w:p w14:paraId="4D0381BF" w14:textId="1235D27C" w:rsidR="00C33EDC" w:rsidRPr="0082273B" w:rsidRDefault="00923EB4" w:rsidP="00C33EDC">
      <w:pPr>
        <w:tabs>
          <w:tab w:val="left" w:pos="1020"/>
        </w:tabs>
        <w:autoSpaceDE w:val="0"/>
        <w:autoSpaceDN w:val="0"/>
        <w:adjustRightInd w:val="0"/>
        <w:snapToGrid w:val="0"/>
        <w:ind w:left="0"/>
        <w:contextualSpacing w:val="0"/>
        <w:textAlignment w:val="center"/>
        <w:rPr>
          <w:color w:val="000000"/>
          <w:sz w:val="26"/>
          <w:szCs w:val="26"/>
          <w:rtl/>
        </w:rPr>
      </w:pPr>
      <w:r w:rsidRPr="0082273B">
        <w:rPr>
          <w:rFonts w:hint="cs"/>
          <w:color w:val="000000"/>
          <w:sz w:val="26"/>
          <w:szCs w:val="26"/>
          <w:rtl/>
        </w:rPr>
        <w:t xml:space="preserve">כאמור לעיל, </w:t>
      </w:r>
      <w:r w:rsidR="00C33EDC" w:rsidRPr="0082273B">
        <w:rPr>
          <w:rFonts w:hint="cs"/>
          <w:color w:val="000000"/>
          <w:sz w:val="26"/>
          <w:szCs w:val="26"/>
          <w:rtl/>
        </w:rPr>
        <w:t>סעיף 9</w:t>
      </w:r>
      <w:r w:rsidR="006B4C3D" w:rsidRPr="003A3C50">
        <w:rPr>
          <w:rFonts w:hint="cs"/>
          <w:color w:val="000000"/>
          <w:sz w:val="26"/>
          <w:szCs w:val="26"/>
          <w:rtl/>
        </w:rPr>
        <w:t>(א)</w:t>
      </w:r>
      <w:r w:rsidR="00C33EDC" w:rsidRPr="005816CA">
        <w:rPr>
          <w:rFonts w:hint="cs"/>
          <w:color w:val="000000"/>
          <w:sz w:val="26"/>
          <w:szCs w:val="26"/>
          <w:rtl/>
        </w:rPr>
        <w:t xml:space="preserve"> לחוק מאפשר לרשות להודיע על חדילה בתוך 90 יום מיום שהוגשה נגדה הבקשה לאישור, כאשר בית המשפט רשאי להאריך תקופה זו מטעמים שיירשמו. </w:t>
      </w:r>
      <w:r w:rsidR="006B4C3D" w:rsidRPr="005816CA">
        <w:rPr>
          <w:rFonts w:hint="cs"/>
          <w:color w:val="000000"/>
          <w:sz w:val="26"/>
          <w:szCs w:val="26"/>
          <w:rtl/>
        </w:rPr>
        <w:t xml:space="preserve">מוצע </w:t>
      </w:r>
      <w:r w:rsidR="006B4C3D" w:rsidRPr="009A5809">
        <w:rPr>
          <w:rFonts w:hint="eastAsia"/>
          <w:color w:val="000000"/>
          <w:sz w:val="26"/>
          <w:szCs w:val="26"/>
          <w:rtl/>
        </w:rPr>
        <w:t>לתקן</w:t>
      </w:r>
      <w:r w:rsidR="006B4C3D" w:rsidRPr="009A5809">
        <w:rPr>
          <w:color w:val="000000"/>
          <w:sz w:val="26"/>
          <w:szCs w:val="26"/>
          <w:rtl/>
        </w:rPr>
        <w:t xml:space="preserve"> </w:t>
      </w:r>
      <w:r w:rsidR="006B4C3D" w:rsidRPr="009A5809">
        <w:rPr>
          <w:rFonts w:hint="eastAsia"/>
          <w:color w:val="000000"/>
          <w:sz w:val="26"/>
          <w:szCs w:val="26"/>
          <w:rtl/>
        </w:rPr>
        <w:t>את</w:t>
      </w:r>
      <w:r w:rsidR="006B4C3D" w:rsidRPr="009A5809">
        <w:rPr>
          <w:color w:val="000000"/>
          <w:sz w:val="26"/>
          <w:szCs w:val="26"/>
          <w:rtl/>
        </w:rPr>
        <w:t xml:space="preserve"> </w:t>
      </w:r>
      <w:r w:rsidR="006B4C3D" w:rsidRPr="009A5809">
        <w:rPr>
          <w:rFonts w:hint="eastAsia"/>
          <w:color w:val="000000"/>
          <w:sz w:val="26"/>
          <w:szCs w:val="26"/>
          <w:rtl/>
        </w:rPr>
        <w:t>סעיף</w:t>
      </w:r>
      <w:r w:rsidR="006B4C3D" w:rsidRPr="009A5809">
        <w:rPr>
          <w:color w:val="000000"/>
          <w:sz w:val="26"/>
          <w:szCs w:val="26"/>
          <w:rtl/>
        </w:rPr>
        <w:t xml:space="preserve"> </w:t>
      </w:r>
      <w:r w:rsidR="006B4C3D" w:rsidRPr="009A5809">
        <w:rPr>
          <w:rFonts w:hint="eastAsia"/>
          <w:color w:val="000000"/>
          <w:sz w:val="26"/>
          <w:szCs w:val="26"/>
          <w:rtl/>
        </w:rPr>
        <w:t>זה</w:t>
      </w:r>
      <w:r w:rsidR="006B4C3D" w:rsidRPr="009A5809">
        <w:rPr>
          <w:color w:val="000000"/>
          <w:sz w:val="26"/>
          <w:szCs w:val="26"/>
          <w:rtl/>
        </w:rPr>
        <w:t xml:space="preserve"> </w:t>
      </w:r>
      <w:r w:rsidR="006B4C3D" w:rsidRPr="009A5809">
        <w:rPr>
          <w:rFonts w:hint="eastAsia"/>
          <w:color w:val="000000"/>
          <w:sz w:val="26"/>
          <w:szCs w:val="26"/>
          <w:rtl/>
        </w:rPr>
        <w:t>ולקבוע</w:t>
      </w:r>
      <w:r w:rsidR="006B4C3D" w:rsidRPr="009A5809">
        <w:rPr>
          <w:color w:val="000000"/>
          <w:sz w:val="26"/>
          <w:szCs w:val="26"/>
          <w:rtl/>
        </w:rPr>
        <w:t xml:space="preserve"> </w:t>
      </w:r>
      <w:r w:rsidR="006B4C3D" w:rsidRPr="009A5809">
        <w:rPr>
          <w:rFonts w:hint="eastAsia"/>
          <w:color w:val="000000"/>
          <w:sz w:val="26"/>
          <w:szCs w:val="26"/>
          <w:rtl/>
        </w:rPr>
        <w:t>כי</w:t>
      </w:r>
      <w:r w:rsidR="006B4C3D" w:rsidRPr="009A5809">
        <w:rPr>
          <w:color w:val="000000"/>
          <w:sz w:val="26"/>
          <w:szCs w:val="26"/>
          <w:rtl/>
        </w:rPr>
        <w:t xml:space="preserve"> </w:t>
      </w:r>
      <w:r w:rsidR="004A4981">
        <w:rPr>
          <w:rFonts w:hint="cs"/>
          <w:color w:val="000000"/>
          <w:sz w:val="26"/>
          <w:szCs w:val="26"/>
          <w:rtl/>
        </w:rPr>
        <w:t>תקופת תשעים הימים</w:t>
      </w:r>
      <w:r w:rsidR="006B4C3D" w:rsidRPr="009A5809">
        <w:rPr>
          <w:color w:val="000000"/>
          <w:sz w:val="26"/>
          <w:szCs w:val="26"/>
          <w:rtl/>
        </w:rPr>
        <w:t xml:space="preserve"> </w:t>
      </w:r>
      <w:r w:rsidR="006B4C3D" w:rsidRPr="009A5809">
        <w:rPr>
          <w:rFonts w:hint="eastAsia"/>
          <w:color w:val="000000"/>
          <w:sz w:val="26"/>
          <w:szCs w:val="26"/>
          <w:rtl/>
        </w:rPr>
        <w:t>תימנה</w:t>
      </w:r>
      <w:r w:rsidR="006B4C3D" w:rsidRPr="009A5809">
        <w:rPr>
          <w:color w:val="000000"/>
          <w:sz w:val="26"/>
          <w:szCs w:val="26"/>
          <w:rtl/>
        </w:rPr>
        <w:t xml:space="preserve"> </w:t>
      </w:r>
      <w:r w:rsidR="006B4C3D" w:rsidRPr="009A5809">
        <w:rPr>
          <w:rFonts w:hint="eastAsia"/>
          <w:color w:val="000000"/>
          <w:sz w:val="26"/>
          <w:szCs w:val="26"/>
          <w:rtl/>
        </w:rPr>
        <w:t>ממועד</w:t>
      </w:r>
      <w:r w:rsidR="006B4C3D" w:rsidRPr="009A5809">
        <w:rPr>
          <w:color w:val="000000"/>
          <w:sz w:val="26"/>
          <w:szCs w:val="26"/>
          <w:rtl/>
        </w:rPr>
        <w:t xml:space="preserve"> </w:t>
      </w:r>
      <w:r w:rsidR="006B4C3D" w:rsidRPr="009A5809">
        <w:rPr>
          <w:rFonts w:hint="eastAsia"/>
          <w:color w:val="000000"/>
          <w:sz w:val="26"/>
          <w:szCs w:val="26"/>
          <w:rtl/>
        </w:rPr>
        <w:t>המצאת</w:t>
      </w:r>
      <w:r w:rsidR="006B4C3D" w:rsidRPr="009A5809">
        <w:rPr>
          <w:color w:val="000000"/>
          <w:sz w:val="26"/>
          <w:szCs w:val="26"/>
          <w:rtl/>
        </w:rPr>
        <w:t xml:space="preserve"> </w:t>
      </w:r>
      <w:r w:rsidR="006B4C3D" w:rsidRPr="009A5809">
        <w:rPr>
          <w:rFonts w:hint="eastAsia"/>
          <w:color w:val="000000"/>
          <w:sz w:val="26"/>
          <w:szCs w:val="26"/>
          <w:rtl/>
        </w:rPr>
        <w:t>הבקשה</w:t>
      </w:r>
      <w:r w:rsidR="006B4C3D" w:rsidRPr="009A5809">
        <w:rPr>
          <w:color w:val="000000"/>
          <w:sz w:val="26"/>
          <w:szCs w:val="26"/>
          <w:rtl/>
        </w:rPr>
        <w:t xml:space="preserve"> </w:t>
      </w:r>
      <w:r w:rsidR="006B4C3D" w:rsidRPr="009A5809">
        <w:rPr>
          <w:rFonts w:hint="eastAsia"/>
          <w:color w:val="000000"/>
          <w:sz w:val="26"/>
          <w:szCs w:val="26"/>
          <w:rtl/>
        </w:rPr>
        <w:t>לרשות</w:t>
      </w:r>
      <w:r w:rsidR="006B4C3D" w:rsidRPr="009A5809">
        <w:rPr>
          <w:color w:val="000000"/>
          <w:sz w:val="26"/>
          <w:szCs w:val="26"/>
          <w:rtl/>
        </w:rPr>
        <w:t xml:space="preserve"> </w:t>
      </w:r>
      <w:r w:rsidR="006B4C3D" w:rsidRPr="009A5809">
        <w:rPr>
          <w:rFonts w:hint="eastAsia"/>
          <w:color w:val="000000"/>
          <w:sz w:val="26"/>
          <w:szCs w:val="26"/>
          <w:rtl/>
        </w:rPr>
        <w:t>ולא</w:t>
      </w:r>
      <w:r w:rsidR="006B4C3D" w:rsidRPr="009A5809">
        <w:rPr>
          <w:color w:val="000000"/>
          <w:sz w:val="26"/>
          <w:szCs w:val="26"/>
          <w:rtl/>
        </w:rPr>
        <w:t xml:space="preserve"> </w:t>
      </w:r>
      <w:r w:rsidR="006B4C3D" w:rsidRPr="009A5809">
        <w:rPr>
          <w:rFonts w:hint="eastAsia"/>
          <w:color w:val="000000"/>
          <w:sz w:val="26"/>
          <w:szCs w:val="26"/>
          <w:rtl/>
        </w:rPr>
        <w:t>ממועד</w:t>
      </w:r>
      <w:r w:rsidR="006B4C3D" w:rsidRPr="009A5809">
        <w:rPr>
          <w:color w:val="000000"/>
          <w:sz w:val="26"/>
          <w:szCs w:val="26"/>
          <w:rtl/>
        </w:rPr>
        <w:t xml:space="preserve"> </w:t>
      </w:r>
      <w:r w:rsidR="006B4C3D" w:rsidRPr="009A5809">
        <w:rPr>
          <w:rFonts w:hint="eastAsia"/>
          <w:color w:val="000000"/>
          <w:sz w:val="26"/>
          <w:szCs w:val="26"/>
          <w:rtl/>
        </w:rPr>
        <w:t>הגשתה</w:t>
      </w:r>
      <w:r w:rsidR="006B4C3D" w:rsidRPr="009A5809">
        <w:rPr>
          <w:color w:val="000000"/>
          <w:sz w:val="26"/>
          <w:szCs w:val="26"/>
          <w:rtl/>
        </w:rPr>
        <w:t>.</w:t>
      </w:r>
    </w:p>
    <w:p w14:paraId="3F3A8455" w14:textId="3F36B70B" w:rsidR="004553A1" w:rsidRPr="00F32692" w:rsidRDefault="006B4C3D" w:rsidP="006B4C3D">
      <w:pPr>
        <w:tabs>
          <w:tab w:val="left" w:pos="1020"/>
        </w:tabs>
        <w:autoSpaceDE w:val="0"/>
        <w:autoSpaceDN w:val="0"/>
        <w:adjustRightInd w:val="0"/>
        <w:snapToGrid w:val="0"/>
        <w:ind w:left="0"/>
        <w:contextualSpacing w:val="0"/>
        <w:textAlignment w:val="center"/>
        <w:rPr>
          <w:color w:val="000000"/>
          <w:sz w:val="26"/>
          <w:szCs w:val="26"/>
          <w:rtl/>
        </w:rPr>
      </w:pPr>
      <w:r w:rsidRPr="0082273B">
        <w:rPr>
          <w:rFonts w:hint="eastAsia"/>
          <w:color w:val="000000"/>
          <w:sz w:val="26"/>
          <w:szCs w:val="26"/>
          <w:rtl/>
        </w:rPr>
        <w:t>התיקון</w:t>
      </w:r>
      <w:r w:rsidRPr="0082273B">
        <w:rPr>
          <w:color w:val="000000"/>
          <w:sz w:val="26"/>
          <w:szCs w:val="26"/>
          <w:rtl/>
        </w:rPr>
        <w:t xml:space="preserve"> </w:t>
      </w:r>
      <w:r w:rsidRPr="0082273B">
        <w:rPr>
          <w:rFonts w:hint="eastAsia"/>
          <w:color w:val="000000"/>
          <w:sz w:val="26"/>
          <w:szCs w:val="26"/>
          <w:rtl/>
        </w:rPr>
        <w:t>האמור</w:t>
      </w:r>
      <w:r w:rsidRPr="0082273B">
        <w:rPr>
          <w:color w:val="000000"/>
          <w:sz w:val="26"/>
          <w:szCs w:val="26"/>
          <w:rtl/>
        </w:rPr>
        <w:t xml:space="preserve"> </w:t>
      </w:r>
      <w:r w:rsidRPr="0082273B">
        <w:rPr>
          <w:rFonts w:hint="eastAsia"/>
          <w:color w:val="000000"/>
          <w:sz w:val="26"/>
          <w:szCs w:val="26"/>
          <w:rtl/>
        </w:rPr>
        <w:t>מוצע</w:t>
      </w:r>
      <w:r w:rsidRPr="0082273B">
        <w:rPr>
          <w:color w:val="000000"/>
          <w:sz w:val="26"/>
          <w:szCs w:val="26"/>
          <w:rtl/>
        </w:rPr>
        <w:t xml:space="preserve"> </w:t>
      </w:r>
      <w:r w:rsidRPr="0082273B">
        <w:rPr>
          <w:rFonts w:hint="eastAsia"/>
          <w:color w:val="000000"/>
          <w:sz w:val="26"/>
          <w:szCs w:val="26"/>
          <w:rtl/>
        </w:rPr>
        <w:t>לאור</w:t>
      </w:r>
      <w:r w:rsidRPr="0082273B">
        <w:rPr>
          <w:color w:val="000000"/>
          <w:sz w:val="26"/>
          <w:szCs w:val="26"/>
          <w:rtl/>
        </w:rPr>
        <w:t xml:space="preserve"> </w:t>
      </w:r>
      <w:r w:rsidRPr="0082273B">
        <w:rPr>
          <w:rFonts w:hint="eastAsia"/>
          <w:color w:val="000000"/>
          <w:sz w:val="26"/>
          <w:szCs w:val="26"/>
          <w:rtl/>
        </w:rPr>
        <w:t>ה</w:t>
      </w:r>
      <w:r w:rsidR="00C33EDC" w:rsidRPr="0082273B">
        <w:rPr>
          <w:rFonts w:hint="eastAsia"/>
          <w:color w:val="000000"/>
          <w:sz w:val="26"/>
          <w:szCs w:val="26"/>
          <w:rtl/>
        </w:rPr>
        <w:t>בעייתיות</w:t>
      </w:r>
      <w:r w:rsidR="00C33EDC" w:rsidRPr="0082273B">
        <w:rPr>
          <w:color w:val="000000"/>
          <w:sz w:val="26"/>
          <w:szCs w:val="26"/>
          <w:rtl/>
        </w:rPr>
        <w:t xml:space="preserve"> </w:t>
      </w:r>
      <w:r w:rsidR="00AF7FEF">
        <w:rPr>
          <w:rFonts w:hint="cs"/>
          <w:color w:val="000000"/>
          <w:sz w:val="26"/>
          <w:szCs w:val="26"/>
          <w:rtl/>
        </w:rPr>
        <w:t>שנובעת מהעובדה כי התקופה</w:t>
      </w:r>
      <w:r w:rsidR="00C33EDC" w:rsidRPr="0082273B">
        <w:rPr>
          <w:color w:val="000000"/>
          <w:sz w:val="26"/>
          <w:szCs w:val="26"/>
          <w:rtl/>
        </w:rPr>
        <w:t xml:space="preserve"> שבה הרשות יכולה לשקול אם יש מקום לחדול, יכולה להתחיל עוד לפני שבכלל נודע לרשות על כך שהוגשה נגדה בקשה לאישור תובענה ייצוגית. גם בעניין בר"מ </w:t>
      </w:r>
      <w:r w:rsidR="00C33EDC" w:rsidRPr="000B7A40">
        <w:rPr>
          <w:color w:val="000000"/>
          <w:sz w:val="26"/>
          <w:szCs w:val="26"/>
          <w:rtl/>
        </w:rPr>
        <w:t>7689/13 </w:t>
      </w:r>
      <w:proofErr w:type="spellStart"/>
      <w:r w:rsidR="00C33EDC" w:rsidRPr="000B7A40">
        <w:rPr>
          <w:b/>
          <w:bCs/>
          <w:color w:val="000000"/>
          <w:sz w:val="26"/>
          <w:szCs w:val="26"/>
          <w:rtl/>
        </w:rPr>
        <w:t>מינהל</w:t>
      </w:r>
      <w:proofErr w:type="spellEnd"/>
      <w:r w:rsidR="00C33EDC" w:rsidRPr="000B7A40">
        <w:rPr>
          <w:b/>
          <w:bCs/>
          <w:color w:val="000000"/>
          <w:sz w:val="26"/>
          <w:szCs w:val="26"/>
          <w:rtl/>
        </w:rPr>
        <w:t xml:space="preserve"> מקרקעי ישראל נ' דוד דהאן</w:t>
      </w:r>
      <w:r w:rsidR="00C33EDC" w:rsidRPr="000B7A40">
        <w:rPr>
          <w:color w:val="000000"/>
          <w:sz w:val="26"/>
          <w:szCs w:val="26"/>
          <w:rtl/>
        </w:rPr>
        <w:t> (</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00C33EDC" w:rsidRPr="000B7A40">
        <w:rPr>
          <w:color w:val="000000"/>
          <w:sz w:val="26"/>
          <w:szCs w:val="26"/>
          <w:rtl/>
        </w:rPr>
        <w:t xml:space="preserve"> 29.06.2014) עמד בית המשפט העליון על הקושי בכך שהתקופה נמנית ממועד הגשת הבקשה לאישור התובענה מבלי קשר לשאלה מתי הבקשה לאישור הומצאה לרשות. בית המשפט העליון </w:t>
      </w:r>
      <w:r w:rsidRPr="000B7A40">
        <w:rPr>
          <w:rFonts w:hint="eastAsia"/>
          <w:color w:val="000000"/>
          <w:sz w:val="26"/>
          <w:szCs w:val="26"/>
          <w:rtl/>
        </w:rPr>
        <w:t>התייחס</w:t>
      </w:r>
      <w:r w:rsidRPr="000B7A40">
        <w:rPr>
          <w:color w:val="000000"/>
          <w:sz w:val="26"/>
          <w:szCs w:val="26"/>
          <w:rtl/>
        </w:rPr>
        <w:t xml:space="preserve"> </w:t>
      </w:r>
      <w:r w:rsidR="00C33EDC" w:rsidRPr="000B7A40">
        <w:rPr>
          <w:rFonts w:hint="eastAsia"/>
          <w:color w:val="000000"/>
          <w:sz w:val="26"/>
          <w:szCs w:val="26"/>
          <w:rtl/>
        </w:rPr>
        <w:t>לכך</w:t>
      </w:r>
      <w:r w:rsidR="00C33EDC" w:rsidRPr="000B7A40">
        <w:rPr>
          <w:color w:val="000000"/>
          <w:sz w:val="26"/>
          <w:szCs w:val="26"/>
          <w:rtl/>
        </w:rPr>
        <w:t xml:space="preserve"> שספירת מניין הימים ממועד הגשת הבקשה ולא ממועד המצאתה עשויה ליתן יתרון דיוני לא מוצדק לתובע מייצג שלא מילא אחר חובתו להמציא את הבקשה</w:t>
      </w:r>
      <w:r w:rsidR="004553A1" w:rsidRPr="000B7A40">
        <w:rPr>
          <w:color w:val="000000"/>
          <w:sz w:val="26"/>
          <w:szCs w:val="26"/>
          <w:rtl/>
        </w:rPr>
        <w:t xml:space="preserve"> וכן עלולה לדרבן </w:t>
      </w:r>
      <w:r w:rsidRPr="000B7A40">
        <w:rPr>
          <w:rFonts w:hint="eastAsia"/>
          <w:color w:val="000000"/>
          <w:sz w:val="26"/>
          <w:szCs w:val="26"/>
          <w:rtl/>
        </w:rPr>
        <w:t>תובעים</w:t>
      </w:r>
      <w:r w:rsidR="004553A1" w:rsidRPr="000B7A40">
        <w:rPr>
          <w:color w:val="000000"/>
          <w:sz w:val="26"/>
          <w:szCs w:val="26"/>
          <w:rtl/>
        </w:rPr>
        <w:t xml:space="preserve"> ייצוגיים שלא להמציא את הבקשה לרשות תוך פרק זמן סביר. עוד עמד בית המשפט העליון על כך שקיימת חוסר אחידות בין סעיף 9(א) לחוק לבין תקנה 2(ג) לתקנות תובענות ייצוגיות, התש"ע-2010 (להלן: תקנות תובענות ייצוגיות), כך שבעוד שהרשות נדרשת להשיב לבקשת האישור תוך 90 ימים ממועד המצאת הבקשה (לפי תקנה 2(ג) לתקנות תובענות ייצוגיות), רשאית היא לחדול מהגבייה לצורך סעיף 9 לחוק, בתוך 90 ימים ממועד </w:t>
      </w:r>
      <w:r w:rsidR="004553A1" w:rsidRPr="00F32692">
        <w:rPr>
          <w:color w:val="000000"/>
          <w:sz w:val="26"/>
          <w:szCs w:val="26"/>
          <w:rtl/>
        </w:rPr>
        <w:t xml:space="preserve">הגשתה של הבקשה לאישור. </w:t>
      </w:r>
    </w:p>
    <w:p w14:paraId="79775F66" w14:textId="0D78B78B" w:rsidR="004553A1" w:rsidRPr="00F32692" w:rsidRDefault="004553A1" w:rsidP="004553A1">
      <w:pPr>
        <w:tabs>
          <w:tab w:val="left" w:pos="1020"/>
        </w:tabs>
        <w:autoSpaceDE w:val="0"/>
        <w:autoSpaceDN w:val="0"/>
        <w:adjustRightInd w:val="0"/>
        <w:snapToGrid w:val="0"/>
        <w:ind w:left="0"/>
        <w:contextualSpacing w:val="0"/>
        <w:textAlignment w:val="center"/>
        <w:rPr>
          <w:b/>
          <w:bCs/>
          <w:color w:val="000000"/>
          <w:sz w:val="26"/>
          <w:szCs w:val="26"/>
          <w:rtl/>
        </w:rPr>
      </w:pPr>
      <w:r w:rsidRPr="00F32692">
        <w:rPr>
          <w:rFonts w:hint="cs"/>
          <w:b/>
          <w:bCs/>
          <w:color w:val="000000"/>
          <w:sz w:val="26"/>
          <w:szCs w:val="26"/>
          <w:rtl/>
        </w:rPr>
        <w:t>לפסקה (2)</w:t>
      </w:r>
    </w:p>
    <w:p w14:paraId="0CA36F3E" w14:textId="3DB78FC1" w:rsidR="004553A1" w:rsidRPr="00F32692" w:rsidRDefault="004553A1" w:rsidP="004553A1">
      <w:pPr>
        <w:tabs>
          <w:tab w:val="left" w:pos="1020"/>
        </w:tabs>
        <w:autoSpaceDE w:val="0"/>
        <w:autoSpaceDN w:val="0"/>
        <w:adjustRightInd w:val="0"/>
        <w:snapToGrid w:val="0"/>
        <w:ind w:left="0"/>
        <w:contextualSpacing w:val="0"/>
        <w:textAlignment w:val="center"/>
        <w:rPr>
          <w:color w:val="000000"/>
          <w:sz w:val="26"/>
          <w:szCs w:val="26"/>
          <w:rtl/>
        </w:rPr>
      </w:pPr>
      <w:r w:rsidRPr="002468BC">
        <w:rPr>
          <w:rFonts w:hint="eastAsia"/>
          <w:color w:val="000000"/>
          <w:sz w:val="26"/>
          <w:szCs w:val="26"/>
          <w:rtl/>
        </w:rPr>
        <w:t>לאור</w:t>
      </w:r>
      <w:r w:rsidRPr="002468BC">
        <w:rPr>
          <w:color w:val="000000"/>
          <w:sz w:val="26"/>
          <w:szCs w:val="26"/>
          <w:rtl/>
        </w:rPr>
        <w:t xml:space="preserve"> </w:t>
      </w:r>
      <w:r w:rsidRPr="002468BC">
        <w:rPr>
          <w:rFonts w:hint="eastAsia"/>
          <w:color w:val="000000"/>
          <w:sz w:val="26"/>
          <w:szCs w:val="26"/>
          <w:rtl/>
        </w:rPr>
        <w:t>ביטול</w:t>
      </w:r>
      <w:r w:rsidRPr="002468BC">
        <w:rPr>
          <w:color w:val="000000"/>
          <w:sz w:val="26"/>
          <w:szCs w:val="26"/>
          <w:rtl/>
        </w:rPr>
        <w:t xml:space="preserve"> </w:t>
      </w:r>
      <w:r w:rsidRPr="002468BC">
        <w:rPr>
          <w:rFonts w:hint="eastAsia"/>
          <w:color w:val="000000"/>
          <w:sz w:val="26"/>
          <w:szCs w:val="26"/>
          <w:rtl/>
        </w:rPr>
        <w:t>סעיף</w:t>
      </w:r>
      <w:r w:rsidRPr="002468BC">
        <w:rPr>
          <w:color w:val="000000"/>
          <w:sz w:val="26"/>
          <w:szCs w:val="26"/>
          <w:rtl/>
        </w:rPr>
        <w:t xml:space="preserve"> 22</w:t>
      </w:r>
      <w:r w:rsidR="0057339A" w:rsidRPr="002468BC">
        <w:rPr>
          <w:rFonts w:hint="cs"/>
          <w:color w:val="000000"/>
          <w:sz w:val="26"/>
          <w:szCs w:val="26"/>
          <w:rtl/>
        </w:rPr>
        <w:t xml:space="preserve">, בסעיף </w:t>
      </w:r>
      <w:r w:rsidR="0057339A" w:rsidRPr="002468BC">
        <w:rPr>
          <w:color w:val="000000"/>
          <w:sz w:val="26"/>
          <w:szCs w:val="26"/>
          <w:rtl/>
        </w:rPr>
        <w:t xml:space="preserve">16 </w:t>
      </w:r>
      <w:r w:rsidR="0057339A" w:rsidRPr="002468BC">
        <w:rPr>
          <w:rFonts w:hint="eastAsia"/>
          <w:color w:val="000000"/>
          <w:sz w:val="26"/>
          <w:szCs w:val="26"/>
          <w:rtl/>
        </w:rPr>
        <w:t>המוצע</w:t>
      </w:r>
      <w:r w:rsidR="0057339A" w:rsidRPr="002468BC">
        <w:rPr>
          <w:rFonts w:hint="cs"/>
          <w:color w:val="000000"/>
          <w:sz w:val="26"/>
          <w:szCs w:val="26"/>
          <w:rtl/>
        </w:rPr>
        <w:t xml:space="preserve"> לתזכיר זה</w:t>
      </w:r>
      <w:r w:rsidRPr="002468BC">
        <w:rPr>
          <w:color w:val="000000"/>
          <w:sz w:val="26"/>
          <w:szCs w:val="26"/>
          <w:rtl/>
        </w:rPr>
        <w:t xml:space="preserve"> </w:t>
      </w:r>
      <w:r w:rsidRPr="002468BC">
        <w:rPr>
          <w:rFonts w:hint="eastAsia"/>
          <w:color w:val="000000"/>
          <w:sz w:val="26"/>
          <w:szCs w:val="26"/>
          <w:rtl/>
        </w:rPr>
        <w:t>ותיקון</w:t>
      </w:r>
      <w:r w:rsidRPr="002468BC">
        <w:rPr>
          <w:color w:val="000000"/>
          <w:sz w:val="26"/>
          <w:szCs w:val="26"/>
          <w:rtl/>
        </w:rPr>
        <w:t xml:space="preserve"> </w:t>
      </w:r>
      <w:r w:rsidRPr="002468BC">
        <w:rPr>
          <w:rFonts w:hint="eastAsia"/>
          <w:color w:val="000000"/>
          <w:sz w:val="26"/>
          <w:szCs w:val="26"/>
          <w:rtl/>
        </w:rPr>
        <w:t>סעיף</w:t>
      </w:r>
      <w:r w:rsidRPr="002468BC">
        <w:rPr>
          <w:color w:val="000000"/>
          <w:sz w:val="26"/>
          <w:szCs w:val="26"/>
          <w:rtl/>
        </w:rPr>
        <w:t xml:space="preserve"> 23</w:t>
      </w:r>
      <w:r w:rsidR="0057339A" w:rsidRPr="002468BC">
        <w:rPr>
          <w:rFonts w:hint="cs"/>
          <w:color w:val="000000"/>
          <w:sz w:val="26"/>
          <w:szCs w:val="26"/>
          <w:rtl/>
        </w:rPr>
        <w:t xml:space="preserve">, בסעיף </w:t>
      </w:r>
      <w:r w:rsidR="0057339A" w:rsidRPr="002468BC">
        <w:rPr>
          <w:color w:val="000000"/>
          <w:sz w:val="26"/>
          <w:szCs w:val="26"/>
          <w:rtl/>
        </w:rPr>
        <w:t>17</w:t>
      </w:r>
      <w:r w:rsidR="0057339A" w:rsidRPr="002468BC">
        <w:rPr>
          <w:rFonts w:hint="cs"/>
          <w:color w:val="000000"/>
          <w:sz w:val="26"/>
          <w:szCs w:val="26"/>
          <w:rtl/>
        </w:rPr>
        <w:t xml:space="preserve"> המוצע לתזכיר זה,</w:t>
      </w:r>
      <w:r w:rsidRPr="002468BC">
        <w:rPr>
          <w:color w:val="000000"/>
          <w:sz w:val="26"/>
          <w:szCs w:val="26"/>
          <w:rtl/>
        </w:rPr>
        <w:t xml:space="preserve"> </w:t>
      </w:r>
      <w:r w:rsidRPr="002468BC">
        <w:rPr>
          <w:rFonts w:hint="eastAsia"/>
          <w:color w:val="000000"/>
          <w:sz w:val="26"/>
          <w:szCs w:val="26"/>
          <w:rtl/>
        </w:rPr>
        <w:t>כך</w:t>
      </w:r>
      <w:r w:rsidRPr="000B7A40">
        <w:rPr>
          <w:color w:val="000000"/>
          <w:sz w:val="26"/>
          <w:szCs w:val="26"/>
          <w:rtl/>
        </w:rPr>
        <w:t xml:space="preserve"> </w:t>
      </w:r>
      <w:r w:rsidRPr="000B7A40">
        <w:rPr>
          <w:rFonts w:hint="eastAsia"/>
          <w:color w:val="000000"/>
          <w:sz w:val="26"/>
          <w:szCs w:val="26"/>
          <w:rtl/>
        </w:rPr>
        <w:t>שיכלול</w:t>
      </w:r>
      <w:r w:rsidRPr="000B7A40">
        <w:rPr>
          <w:color w:val="000000"/>
          <w:sz w:val="26"/>
          <w:szCs w:val="26"/>
          <w:rtl/>
        </w:rPr>
        <w:t xml:space="preserve"> </w:t>
      </w:r>
      <w:r w:rsidRPr="000B7A40">
        <w:rPr>
          <w:rFonts w:hint="eastAsia"/>
          <w:color w:val="000000"/>
          <w:sz w:val="26"/>
          <w:szCs w:val="26"/>
          <w:rtl/>
        </w:rPr>
        <w:t>הן</w:t>
      </w:r>
      <w:r w:rsidRPr="000B7A40">
        <w:rPr>
          <w:color w:val="000000"/>
          <w:sz w:val="26"/>
          <w:szCs w:val="26"/>
          <w:rtl/>
        </w:rPr>
        <w:t xml:space="preserve"> </w:t>
      </w:r>
      <w:r w:rsidRPr="000B7A40">
        <w:rPr>
          <w:rFonts w:hint="eastAsia"/>
          <w:color w:val="000000"/>
          <w:sz w:val="26"/>
          <w:szCs w:val="26"/>
          <w:rtl/>
        </w:rPr>
        <w:t>את</w:t>
      </w:r>
      <w:r w:rsidRPr="000B7A40">
        <w:rPr>
          <w:color w:val="000000"/>
          <w:sz w:val="26"/>
          <w:szCs w:val="26"/>
          <w:rtl/>
        </w:rPr>
        <w:t xml:space="preserve"> </w:t>
      </w:r>
      <w:r w:rsidRPr="000B7A40">
        <w:rPr>
          <w:rFonts w:hint="eastAsia"/>
          <w:color w:val="000000"/>
          <w:sz w:val="26"/>
          <w:szCs w:val="26"/>
          <w:rtl/>
        </w:rPr>
        <w:t>השיקולים</w:t>
      </w:r>
      <w:r w:rsidRPr="000B7A40">
        <w:rPr>
          <w:color w:val="000000"/>
          <w:sz w:val="26"/>
          <w:szCs w:val="26"/>
          <w:rtl/>
        </w:rPr>
        <w:t xml:space="preserve"> </w:t>
      </w:r>
      <w:r w:rsidRPr="000B7A40">
        <w:rPr>
          <w:rFonts w:hint="eastAsia"/>
          <w:color w:val="000000"/>
          <w:sz w:val="26"/>
          <w:szCs w:val="26"/>
          <w:rtl/>
        </w:rPr>
        <w:t>בעניין</w:t>
      </w:r>
      <w:r w:rsidRPr="000B7A40">
        <w:rPr>
          <w:color w:val="000000"/>
          <w:sz w:val="26"/>
          <w:szCs w:val="26"/>
          <w:rtl/>
        </w:rPr>
        <w:t xml:space="preserve"> </w:t>
      </w:r>
      <w:r w:rsidRPr="000B7A40">
        <w:rPr>
          <w:rFonts w:hint="eastAsia"/>
          <w:color w:val="000000"/>
          <w:sz w:val="26"/>
          <w:szCs w:val="26"/>
          <w:rtl/>
        </w:rPr>
        <w:t>שכר</w:t>
      </w:r>
      <w:r w:rsidRPr="000B7A40">
        <w:rPr>
          <w:color w:val="000000"/>
          <w:sz w:val="26"/>
          <w:szCs w:val="26"/>
          <w:rtl/>
        </w:rPr>
        <w:t xml:space="preserve"> </w:t>
      </w:r>
      <w:r w:rsidRPr="000B7A40">
        <w:rPr>
          <w:rFonts w:hint="eastAsia"/>
          <w:color w:val="000000"/>
          <w:sz w:val="26"/>
          <w:szCs w:val="26"/>
          <w:rtl/>
        </w:rPr>
        <w:t>הטרחה</w:t>
      </w:r>
      <w:r w:rsidRPr="000B7A40">
        <w:rPr>
          <w:color w:val="000000"/>
          <w:sz w:val="26"/>
          <w:szCs w:val="26"/>
          <w:rtl/>
        </w:rPr>
        <w:t xml:space="preserve"> </w:t>
      </w:r>
      <w:r w:rsidRPr="000B7A40">
        <w:rPr>
          <w:rFonts w:hint="eastAsia"/>
          <w:color w:val="000000"/>
          <w:sz w:val="26"/>
          <w:szCs w:val="26"/>
          <w:rtl/>
        </w:rPr>
        <w:t>והן</w:t>
      </w:r>
      <w:r w:rsidRPr="000B7A40">
        <w:rPr>
          <w:color w:val="000000"/>
          <w:sz w:val="26"/>
          <w:szCs w:val="26"/>
          <w:rtl/>
        </w:rPr>
        <w:t xml:space="preserve"> </w:t>
      </w:r>
      <w:r w:rsidRPr="000B7A40">
        <w:rPr>
          <w:rFonts w:hint="eastAsia"/>
          <w:color w:val="000000"/>
          <w:sz w:val="26"/>
          <w:szCs w:val="26"/>
          <w:rtl/>
        </w:rPr>
        <w:t>את</w:t>
      </w:r>
      <w:r w:rsidRPr="000B7A40">
        <w:rPr>
          <w:color w:val="000000"/>
          <w:sz w:val="26"/>
          <w:szCs w:val="26"/>
          <w:rtl/>
        </w:rPr>
        <w:t xml:space="preserve"> </w:t>
      </w:r>
      <w:r w:rsidRPr="000B7A40">
        <w:rPr>
          <w:rFonts w:hint="eastAsia"/>
          <w:color w:val="000000"/>
          <w:sz w:val="26"/>
          <w:szCs w:val="26"/>
          <w:rtl/>
        </w:rPr>
        <w:t>השיקולים</w:t>
      </w:r>
      <w:r w:rsidRPr="000B7A40">
        <w:rPr>
          <w:color w:val="000000"/>
          <w:sz w:val="26"/>
          <w:szCs w:val="26"/>
          <w:rtl/>
        </w:rPr>
        <w:t xml:space="preserve"> </w:t>
      </w:r>
      <w:r w:rsidRPr="000B7A40">
        <w:rPr>
          <w:rFonts w:hint="eastAsia"/>
          <w:color w:val="000000"/>
          <w:sz w:val="26"/>
          <w:szCs w:val="26"/>
          <w:rtl/>
        </w:rPr>
        <w:t>בעניין</w:t>
      </w:r>
      <w:r w:rsidRPr="000B7A40">
        <w:rPr>
          <w:color w:val="000000"/>
          <w:sz w:val="26"/>
          <w:szCs w:val="26"/>
          <w:rtl/>
        </w:rPr>
        <w:t xml:space="preserve"> </w:t>
      </w:r>
      <w:r w:rsidRPr="000B7A40">
        <w:rPr>
          <w:rFonts w:hint="eastAsia"/>
          <w:color w:val="000000"/>
          <w:sz w:val="26"/>
          <w:szCs w:val="26"/>
          <w:rtl/>
        </w:rPr>
        <w:t>הגמול</w:t>
      </w:r>
      <w:r w:rsidRPr="000B7A40">
        <w:rPr>
          <w:color w:val="000000"/>
          <w:sz w:val="26"/>
          <w:szCs w:val="26"/>
          <w:rtl/>
        </w:rPr>
        <w:t xml:space="preserve">, </w:t>
      </w:r>
      <w:r w:rsidRPr="000B7A40">
        <w:rPr>
          <w:rFonts w:hint="eastAsia"/>
          <w:color w:val="000000"/>
          <w:sz w:val="26"/>
          <w:szCs w:val="26"/>
          <w:rtl/>
        </w:rPr>
        <w:t>מוצע</w:t>
      </w:r>
      <w:r w:rsidRPr="000B7A40">
        <w:rPr>
          <w:color w:val="000000"/>
          <w:sz w:val="26"/>
          <w:szCs w:val="26"/>
          <w:rtl/>
        </w:rPr>
        <w:t xml:space="preserve"> </w:t>
      </w:r>
      <w:r w:rsidRPr="000B7A40">
        <w:rPr>
          <w:rFonts w:hint="eastAsia"/>
          <w:color w:val="000000"/>
          <w:sz w:val="26"/>
          <w:szCs w:val="26"/>
          <w:rtl/>
        </w:rPr>
        <w:t>לערוך</w:t>
      </w:r>
      <w:r w:rsidRPr="000B7A40">
        <w:rPr>
          <w:color w:val="000000"/>
          <w:sz w:val="26"/>
          <w:szCs w:val="26"/>
          <w:rtl/>
        </w:rPr>
        <w:t xml:space="preserve"> </w:t>
      </w:r>
      <w:r w:rsidRPr="000B7A40">
        <w:rPr>
          <w:rFonts w:hint="eastAsia"/>
          <w:color w:val="000000"/>
          <w:sz w:val="26"/>
          <w:szCs w:val="26"/>
          <w:rtl/>
        </w:rPr>
        <w:t>תיקון</w:t>
      </w:r>
      <w:r w:rsidRPr="000B7A40">
        <w:rPr>
          <w:color w:val="000000"/>
          <w:sz w:val="26"/>
          <w:szCs w:val="26"/>
          <w:rtl/>
        </w:rPr>
        <w:t xml:space="preserve"> </w:t>
      </w:r>
      <w:r w:rsidRPr="000B7A40">
        <w:rPr>
          <w:rFonts w:hint="eastAsia"/>
          <w:color w:val="000000"/>
          <w:sz w:val="26"/>
          <w:szCs w:val="26"/>
          <w:rtl/>
        </w:rPr>
        <w:t>שיבהיר</w:t>
      </w:r>
      <w:r w:rsidRPr="000B7A40">
        <w:rPr>
          <w:color w:val="000000"/>
          <w:sz w:val="26"/>
          <w:szCs w:val="26"/>
          <w:rtl/>
        </w:rPr>
        <w:t xml:space="preserve"> </w:t>
      </w:r>
      <w:r w:rsidRPr="000B7A40">
        <w:rPr>
          <w:rFonts w:hint="eastAsia"/>
          <w:color w:val="000000"/>
          <w:sz w:val="26"/>
          <w:szCs w:val="26"/>
          <w:rtl/>
        </w:rPr>
        <w:t>כי</w:t>
      </w:r>
      <w:r w:rsidRPr="000B7A40">
        <w:rPr>
          <w:color w:val="000000"/>
          <w:sz w:val="26"/>
          <w:szCs w:val="26"/>
          <w:rtl/>
        </w:rPr>
        <w:t xml:space="preserve"> </w:t>
      </w:r>
      <w:r w:rsidRPr="00F32692">
        <w:rPr>
          <w:rFonts w:hint="eastAsia"/>
          <w:color w:val="000000"/>
          <w:sz w:val="26"/>
          <w:szCs w:val="26"/>
          <w:rtl/>
        </w:rPr>
        <w:t>השיקולים</w:t>
      </w:r>
      <w:r w:rsidRPr="00F32692">
        <w:rPr>
          <w:color w:val="000000"/>
          <w:sz w:val="26"/>
          <w:szCs w:val="26"/>
          <w:rtl/>
        </w:rPr>
        <w:t xml:space="preserve"> </w:t>
      </w:r>
      <w:r w:rsidRPr="00F32692">
        <w:rPr>
          <w:rFonts w:hint="eastAsia"/>
          <w:color w:val="000000"/>
          <w:sz w:val="26"/>
          <w:szCs w:val="26"/>
          <w:rtl/>
        </w:rPr>
        <w:t>לפסיקת</w:t>
      </w:r>
      <w:r w:rsidRPr="00F32692">
        <w:rPr>
          <w:color w:val="000000"/>
          <w:sz w:val="26"/>
          <w:szCs w:val="26"/>
          <w:rtl/>
        </w:rPr>
        <w:t xml:space="preserve"> </w:t>
      </w:r>
      <w:r w:rsidRPr="00F32692">
        <w:rPr>
          <w:rFonts w:hint="eastAsia"/>
          <w:color w:val="000000"/>
          <w:sz w:val="26"/>
          <w:szCs w:val="26"/>
          <w:rtl/>
        </w:rPr>
        <w:t>גמול</w:t>
      </w:r>
      <w:r w:rsidRPr="00F32692">
        <w:rPr>
          <w:color w:val="000000"/>
          <w:sz w:val="26"/>
          <w:szCs w:val="26"/>
          <w:rtl/>
        </w:rPr>
        <w:t xml:space="preserve"> </w:t>
      </w:r>
      <w:r w:rsidRPr="00F32692">
        <w:rPr>
          <w:rFonts w:hint="eastAsia"/>
          <w:color w:val="000000"/>
          <w:sz w:val="26"/>
          <w:szCs w:val="26"/>
          <w:rtl/>
        </w:rPr>
        <w:t>ושכר</w:t>
      </w:r>
      <w:r w:rsidRPr="00F32692">
        <w:rPr>
          <w:color w:val="000000"/>
          <w:sz w:val="26"/>
          <w:szCs w:val="26"/>
          <w:rtl/>
        </w:rPr>
        <w:t xml:space="preserve"> </w:t>
      </w:r>
      <w:r w:rsidRPr="00F32692">
        <w:rPr>
          <w:rFonts w:hint="eastAsia"/>
          <w:color w:val="000000"/>
          <w:sz w:val="26"/>
          <w:szCs w:val="26"/>
          <w:rtl/>
        </w:rPr>
        <w:t>טרחה</w:t>
      </w:r>
      <w:r w:rsidRPr="00F32692">
        <w:rPr>
          <w:color w:val="000000"/>
          <w:sz w:val="26"/>
          <w:szCs w:val="26"/>
          <w:rtl/>
        </w:rPr>
        <w:t xml:space="preserve"> </w:t>
      </w:r>
      <w:r w:rsidRPr="00F32692">
        <w:rPr>
          <w:rFonts w:hint="eastAsia"/>
          <w:color w:val="000000"/>
          <w:sz w:val="26"/>
          <w:szCs w:val="26"/>
          <w:rtl/>
        </w:rPr>
        <w:t>בחדילה</w:t>
      </w:r>
      <w:r w:rsidRPr="00F32692">
        <w:rPr>
          <w:color w:val="000000"/>
          <w:sz w:val="26"/>
          <w:szCs w:val="26"/>
          <w:rtl/>
        </w:rPr>
        <w:t xml:space="preserve">, </w:t>
      </w:r>
      <w:r w:rsidRPr="00F32692">
        <w:rPr>
          <w:rFonts w:hint="eastAsia"/>
          <w:color w:val="000000"/>
          <w:sz w:val="26"/>
          <w:szCs w:val="26"/>
          <w:rtl/>
        </w:rPr>
        <w:t>הם</w:t>
      </w:r>
      <w:r w:rsidRPr="00F32692">
        <w:rPr>
          <w:color w:val="000000"/>
          <w:sz w:val="26"/>
          <w:szCs w:val="26"/>
          <w:rtl/>
        </w:rPr>
        <w:t xml:space="preserve"> </w:t>
      </w:r>
      <w:r w:rsidRPr="00F32692">
        <w:rPr>
          <w:rFonts w:hint="eastAsia"/>
          <w:color w:val="000000"/>
          <w:sz w:val="26"/>
          <w:szCs w:val="26"/>
          <w:rtl/>
        </w:rPr>
        <w:t>השיקולים</w:t>
      </w:r>
      <w:r w:rsidRPr="00F32692">
        <w:rPr>
          <w:color w:val="000000"/>
          <w:sz w:val="26"/>
          <w:szCs w:val="26"/>
          <w:rtl/>
        </w:rPr>
        <w:t xml:space="preserve"> </w:t>
      </w:r>
      <w:r w:rsidRPr="00F32692">
        <w:rPr>
          <w:rFonts w:hint="eastAsia"/>
          <w:color w:val="000000"/>
          <w:sz w:val="26"/>
          <w:szCs w:val="26"/>
          <w:rtl/>
        </w:rPr>
        <w:t>המנויים</w:t>
      </w:r>
      <w:r w:rsidRPr="00F32692">
        <w:rPr>
          <w:color w:val="000000"/>
          <w:sz w:val="26"/>
          <w:szCs w:val="26"/>
          <w:rtl/>
        </w:rPr>
        <w:t xml:space="preserve"> </w:t>
      </w:r>
      <w:r w:rsidRPr="00F32692">
        <w:rPr>
          <w:rFonts w:hint="eastAsia"/>
          <w:color w:val="000000"/>
          <w:sz w:val="26"/>
          <w:szCs w:val="26"/>
          <w:rtl/>
        </w:rPr>
        <w:t>בסעיף</w:t>
      </w:r>
      <w:r w:rsidRPr="00F32692">
        <w:rPr>
          <w:color w:val="000000"/>
          <w:sz w:val="26"/>
          <w:szCs w:val="26"/>
          <w:rtl/>
        </w:rPr>
        <w:t xml:space="preserve"> 23(ב) </w:t>
      </w:r>
      <w:r w:rsidRPr="00F32692">
        <w:rPr>
          <w:rFonts w:hint="eastAsia"/>
          <w:color w:val="000000"/>
          <w:sz w:val="26"/>
          <w:szCs w:val="26"/>
          <w:rtl/>
        </w:rPr>
        <w:t>המוצע</w:t>
      </w:r>
      <w:r w:rsidRPr="00F32692">
        <w:rPr>
          <w:color w:val="000000"/>
          <w:sz w:val="26"/>
          <w:szCs w:val="26"/>
          <w:rtl/>
        </w:rPr>
        <w:t>.</w:t>
      </w:r>
      <w:r w:rsidR="000F5065">
        <w:rPr>
          <w:rFonts w:hint="cs"/>
          <w:color w:val="000000"/>
          <w:sz w:val="26"/>
          <w:szCs w:val="26"/>
          <w:rtl/>
        </w:rPr>
        <w:t xml:space="preserve"> יובהר כי מכיוון שבחדילה לא נפסק פיצוי לציבור אלא התביעה לא מאושרת כייצוגית, הטבלה הקבועה בפרט 2 לתוספת החמישית לחוק אינה רלוונטית</w:t>
      </w:r>
      <w:r w:rsidR="00D37D59">
        <w:rPr>
          <w:rFonts w:hint="cs"/>
          <w:color w:val="000000"/>
          <w:sz w:val="26"/>
          <w:szCs w:val="26"/>
          <w:rtl/>
        </w:rPr>
        <w:t xml:space="preserve"> והיא לא חלה במקרה</w:t>
      </w:r>
      <w:r w:rsidR="00632628">
        <w:rPr>
          <w:rFonts w:hint="cs"/>
          <w:color w:val="000000"/>
          <w:sz w:val="26"/>
          <w:szCs w:val="26"/>
          <w:rtl/>
        </w:rPr>
        <w:t xml:space="preserve"> זה</w:t>
      </w:r>
      <w:r w:rsidR="00D37D59">
        <w:rPr>
          <w:rFonts w:hint="cs"/>
          <w:color w:val="000000"/>
          <w:sz w:val="26"/>
          <w:szCs w:val="26"/>
          <w:rtl/>
        </w:rPr>
        <w:t>.</w:t>
      </w:r>
      <w:r w:rsidR="000F5065">
        <w:rPr>
          <w:rFonts w:hint="cs"/>
          <w:color w:val="000000"/>
          <w:sz w:val="26"/>
          <w:szCs w:val="26"/>
          <w:rtl/>
        </w:rPr>
        <w:t xml:space="preserve"> </w:t>
      </w:r>
      <w:r w:rsidR="00D37D59">
        <w:rPr>
          <w:rFonts w:hint="cs"/>
          <w:color w:val="000000"/>
          <w:sz w:val="26"/>
          <w:szCs w:val="26"/>
          <w:rtl/>
        </w:rPr>
        <w:t xml:space="preserve">כלומר, </w:t>
      </w:r>
      <w:r w:rsidR="000F5065">
        <w:rPr>
          <w:rFonts w:hint="cs"/>
          <w:color w:val="000000"/>
          <w:sz w:val="26"/>
          <w:szCs w:val="26"/>
          <w:rtl/>
        </w:rPr>
        <w:t xml:space="preserve">בית המשפט יפסוק את שכר הטרחה והגמול </w:t>
      </w:r>
      <w:r w:rsidR="00D37D59">
        <w:rPr>
          <w:rFonts w:hint="cs"/>
          <w:color w:val="000000"/>
          <w:sz w:val="26"/>
          <w:szCs w:val="26"/>
          <w:rtl/>
        </w:rPr>
        <w:t>לפי שיקול דעתו ו</w:t>
      </w:r>
      <w:r w:rsidR="000F5065">
        <w:rPr>
          <w:rFonts w:hint="cs"/>
          <w:color w:val="000000"/>
          <w:sz w:val="26"/>
          <w:szCs w:val="26"/>
          <w:rtl/>
        </w:rPr>
        <w:t>בהתאם לשיקולים הקבועים כאמור בסעיף 23(ב) לחוק המוצע</w:t>
      </w:r>
      <w:r w:rsidR="00D37D59">
        <w:rPr>
          <w:rFonts w:hint="cs"/>
          <w:color w:val="000000"/>
          <w:sz w:val="26"/>
          <w:szCs w:val="26"/>
          <w:rtl/>
        </w:rPr>
        <w:t xml:space="preserve"> ובהתייחס לכך שמדובר ברשות ציבורית כפי שיפורט להלן</w:t>
      </w:r>
      <w:r w:rsidR="000F5065">
        <w:rPr>
          <w:rFonts w:hint="cs"/>
          <w:color w:val="000000"/>
          <w:sz w:val="26"/>
          <w:szCs w:val="26"/>
          <w:rtl/>
        </w:rPr>
        <w:t xml:space="preserve">.  </w:t>
      </w:r>
    </w:p>
    <w:p w14:paraId="161664B8" w14:textId="675EF94C" w:rsidR="004553A1" w:rsidRPr="00F32692" w:rsidRDefault="004553A1" w:rsidP="004553A1">
      <w:pPr>
        <w:tabs>
          <w:tab w:val="left" w:pos="1020"/>
        </w:tabs>
        <w:autoSpaceDE w:val="0"/>
        <w:autoSpaceDN w:val="0"/>
        <w:adjustRightInd w:val="0"/>
        <w:snapToGrid w:val="0"/>
        <w:ind w:left="0"/>
        <w:contextualSpacing w:val="0"/>
        <w:textAlignment w:val="center"/>
        <w:rPr>
          <w:b/>
          <w:bCs/>
          <w:color w:val="000000"/>
          <w:sz w:val="26"/>
          <w:szCs w:val="26"/>
          <w:rtl/>
        </w:rPr>
      </w:pPr>
      <w:r w:rsidRPr="00F32692">
        <w:rPr>
          <w:rFonts w:hint="cs"/>
          <w:b/>
          <w:bCs/>
          <w:color w:val="000000"/>
          <w:sz w:val="26"/>
          <w:szCs w:val="26"/>
          <w:rtl/>
        </w:rPr>
        <w:t xml:space="preserve">לפסקה (3), לסעיף </w:t>
      </w:r>
      <w:r w:rsidR="00412887" w:rsidRPr="00F32692">
        <w:rPr>
          <w:rFonts w:hint="cs"/>
          <w:b/>
          <w:bCs/>
          <w:color w:val="000000"/>
          <w:sz w:val="26"/>
          <w:szCs w:val="26"/>
          <w:rtl/>
        </w:rPr>
        <w:t>15</w:t>
      </w:r>
      <w:r w:rsidR="007B6652" w:rsidRPr="00F32692">
        <w:rPr>
          <w:rFonts w:hint="cs"/>
          <w:b/>
          <w:bCs/>
          <w:color w:val="000000"/>
          <w:sz w:val="26"/>
          <w:szCs w:val="26"/>
          <w:rtl/>
        </w:rPr>
        <w:t>(ה)</w:t>
      </w:r>
      <w:r w:rsidRPr="00F32692">
        <w:rPr>
          <w:rFonts w:hint="cs"/>
          <w:b/>
          <w:bCs/>
          <w:color w:val="000000"/>
          <w:sz w:val="26"/>
          <w:szCs w:val="26"/>
          <w:rtl/>
        </w:rPr>
        <w:t xml:space="preserve"> ו-</w:t>
      </w:r>
      <w:r w:rsidR="00C655D1" w:rsidRPr="00F32692">
        <w:rPr>
          <w:rFonts w:hint="cs"/>
          <w:b/>
          <w:bCs/>
          <w:color w:val="000000"/>
          <w:sz w:val="26"/>
          <w:szCs w:val="26"/>
          <w:rtl/>
        </w:rPr>
        <w:t>24</w:t>
      </w:r>
    </w:p>
    <w:p w14:paraId="5DA9D612" w14:textId="77777777" w:rsidR="004553A1" w:rsidRPr="000B7A40" w:rsidRDefault="004553A1" w:rsidP="004553A1">
      <w:pPr>
        <w:tabs>
          <w:tab w:val="left" w:pos="1020"/>
        </w:tabs>
        <w:autoSpaceDE w:val="0"/>
        <w:autoSpaceDN w:val="0"/>
        <w:adjustRightInd w:val="0"/>
        <w:snapToGrid w:val="0"/>
        <w:ind w:left="0"/>
        <w:contextualSpacing w:val="0"/>
        <w:textAlignment w:val="center"/>
        <w:rPr>
          <w:color w:val="000000"/>
          <w:sz w:val="26"/>
          <w:szCs w:val="26"/>
          <w:rtl/>
        </w:rPr>
      </w:pPr>
      <w:r w:rsidRPr="00F32692">
        <w:rPr>
          <w:rFonts w:hint="eastAsia"/>
          <w:color w:val="000000"/>
          <w:sz w:val="26"/>
          <w:szCs w:val="26"/>
          <w:rtl/>
        </w:rPr>
        <w:t>כאמור</w:t>
      </w:r>
      <w:r w:rsidRPr="00F32692">
        <w:rPr>
          <w:color w:val="000000"/>
          <w:sz w:val="26"/>
          <w:szCs w:val="26"/>
          <w:rtl/>
        </w:rPr>
        <w:t>, לרשות נקבעו הגנות בחוק כאשר</w:t>
      </w:r>
      <w:r w:rsidRPr="000B7A40">
        <w:rPr>
          <w:color w:val="000000"/>
          <w:sz w:val="26"/>
          <w:szCs w:val="26"/>
          <w:rtl/>
        </w:rPr>
        <w:t xml:space="preserve"> מוגשת נגדה תובענה ייצוגית לפי פרט 11. בנוסף להגנת החדילה, לרשות קיימת הגנה נוספת בסעיף 21 לחוק והיא הגבלת סעד ההשבה בתובענה ייצוגית שאושרה נגד רשות (אם הרשות לא הודיעה על חדילה), לתקופה של שנתיים שקדמו למועד הגשת הבקשה לאישור התובענה הייצוגית. </w:t>
      </w:r>
    </w:p>
    <w:p w14:paraId="728710E0" w14:textId="7C15D7EE" w:rsidR="004553A1" w:rsidRPr="000B7A40" w:rsidRDefault="004553A1" w:rsidP="004553A1">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ההגנות לרשות נקבעו לאור אופייה המיוחד של הרשות כגוף שחלות עליו חובות שאינן חלות על גופים פרטיים, ובהתחשב בהשלכות התקציביות שעשויות להיות לאישור תובענה ייצוגית נגד רשות והפגיעה באינטרס הציבורי הכרוכה בכך</w:t>
      </w:r>
      <w:r w:rsidR="00AF7FEF">
        <w:rPr>
          <w:rFonts w:hint="cs"/>
          <w:color w:val="000000"/>
          <w:sz w:val="26"/>
          <w:szCs w:val="26"/>
          <w:rtl/>
        </w:rPr>
        <w:t>. זאת,</w:t>
      </w:r>
      <w:r w:rsidRPr="000B7A40">
        <w:rPr>
          <w:color w:val="000000"/>
          <w:sz w:val="26"/>
          <w:szCs w:val="26"/>
          <w:rtl/>
        </w:rPr>
        <w:t xml:space="preserve"> תוך איזון בין החשיבות לאפשר הגשת תובענות ייצוגיות נגד רשות מחד ובין שמירה על האינטרס הציבורי כאמור מאידך. </w:t>
      </w:r>
    </w:p>
    <w:p w14:paraId="2A157F58" w14:textId="4389C85A"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Pr>
      </w:pPr>
      <w:r w:rsidRPr="000B7A40">
        <w:rPr>
          <w:color w:val="000000"/>
          <w:sz w:val="26"/>
          <w:szCs w:val="26"/>
          <w:rtl/>
        </w:rPr>
        <w:lastRenderedPageBreak/>
        <w:t>מוצע להחיל הגנות אלה, כפי שיפורט להלן, גם על תאגידי המים והביוב וכן על מועצה מקומית כהגדרתם בפרט 16 המוצע וגם על קופות החולים (במסגרת פעילותן לפי סל שירותי הבריאות) כפי שמוצע בפרט 17.</w:t>
      </w:r>
    </w:p>
    <w:p w14:paraId="15C3247E" w14:textId="77777777"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במהלך התקופה שחלפה מאז חקיקתו של חוק תובענות ייצוגיות, עלתה, במספר רב של הליכים </w:t>
      </w:r>
      <w:proofErr w:type="spellStart"/>
      <w:r w:rsidRPr="000B7A40">
        <w:rPr>
          <w:color w:val="000000"/>
          <w:sz w:val="26"/>
          <w:szCs w:val="26"/>
          <w:rtl/>
        </w:rPr>
        <w:t>שנתבררו</w:t>
      </w:r>
      <w:proofErr w:type="spellEnd"/>
      <w:r w:rsidRPr="000B7A40">
        <w:rPr>
          <w:color w:val="000000"/>
          <w:sz w:val="26"/>
          <w:szCs w:val="26"/>
          <w:rtl/>
        </w:rPr>
        <w:t xml:space="preserve"> בבתי המשפט, השאלה בדבר מעמדן של קופות החולים על פי חוק תובענות ייצוגיות, וזאת בשל מאפייניהן הייחודיים: האם הן בגדר "עוסק" כאמור בפרט 1 לתוספת </w:t>
      </w:r>
      <w:proofErr w:type="spellStart"/>
      <w:r w:rsidRPr="000B7A40">
        <w:rPr>
          <w:color w:val="000000"/>
          <w:sz w:val="26"/>
          <w:szCs w:val="26"/>
          <w:rtl/>
        </w:rPr>
        <w:t>השניה</w:t>
      </w:r>
      <w:proofErr w:type="spellEnd"/>
      <w:r w:rsidRPr="000B7A40">
        <w:rPr>
          <w:color w:val="000000"/>
          <w:sz w:val="26"/>
          <w:szCs w:val="26"/>
          <w:rtl/>
        </w:rPr>
        <w:t xml:space="preserve"> או שהן בגדר "רשות" כאמור בפרט 11 לתוספת </w:t>
      </w:r>
      <w:proofErr w:type="spellStart"/>
      <w:r w:rsidRPr="000B7A40">
        <w:rPr>
          <w:color w:val="000000"/>
          <w:sz w:val="26"/>
          <w:szCs w:val="26"/>
          <w:rtl/>
        </w:rPr>
        <w:t>השניה</w:t>
      </w:r>
      <w:proofErr w:type="spellEnd"/>
      <w:r w:rsidRPr="000B7A40">
        <w:rPr>
          <w:color w:val="000000"/>
          <w:sz w:val="26"/>
          <w:szCs w:val="26"/>
          <w:rtl/>
        </w:rPr>
        <w:t xml:space="preserve"> ואז גם חלות עליהן ההגנות המוקנות בחוק תובענות ייצוגיות לרשות. מחד גיסא, ישנו קושי להגדיר אותן כ-"רשות" לפי חוק בתי המשפט לעניינים </w:t>
      </w:r>
      <w:proofErr w:type="spellStart"/>
      <w:r w:rsidRPr="000B7A40">
        <w:rPr>
          <w:color w:val="000000"/>
          <w:sz w:val="26"/>
          <w:szCs w:val="26"/>
          <w:rtl/>
        </w:rPr>
        <w:t>מינהליים</w:t>
      </w:r>
      <w:proofErr w:type="spellEnd"/>
      <w:r w:rsidRPr="000B7A40">
        <w:rPr>
          <w:color w:val="000000"/>
          <w:sz w:val="26"/>
          <w:szCs w:val="26"/>
          <w:rtl/>
        </w:rPr>
        <w:t xml:space="preserve"> (שאליו מפנה סעיף 3(א) לחוק תובענות ייצוגיות), ומאידך גיסא, יש הגיון וצורך להחיל עליהן את הגנות שמקנה חוק לרשות בלבד, במקרים מסוימים, כפי שיפורט להלן.</w:t>
      </w:r>
    </w:p>
    <w:p w14:paraId="7A5BC139" w14:textId="461319C6"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ההצדקות להענקת הגנות לקופות החולים במסגרת פעילותן לפי סל השירותים, כהגדרתו בסעיף 7 לחוק ביטוח בריאות ממלכתי, התשנ"ד-1994 (להלן - חוק ביטוח בריאות ממלכתי), נובעות מאופי פעילותן של הקופות ודרך הסדרתן ומכך שקופות החולים מספקות את התשתית הבסיסית של שירותי הבריאות בישראל לציבור כפי שנקבעו בידי המחוקק בסל הבריאות הממלכתי. כמו כן, קופות החולים פועלות כמוסדות ללא כוונת רווח והמקורות הכלכליים של הקופות קבועים בחוק ביטוח בריאות ממלכתי, ומהווים הוצאה ציבורית משמעותית אשר ממומנת באמצעות כספי </w:t>
      </w:r>
      <w:proofErr w:type="spellStart"/>
      <w:r w:rsidRPr="000B7A40">
        <w:rPr>
          <w:color w:val="000000"/>
          <w:sz w:val="26"/>
          <w:szCs w:val="26"/>
          <w:rtl/>
        </w:rPr>
        <w:t>מסים</w:t>
      </w:r>
      <w:proofErr w:type="spellEnd"/>
      <w:r w:rsidRPr="000B7A40">
        <w:rPr>
          <w:color w:val="000000"/>
          <w:sz w:val="26"/>
          <w:szCs w:val="26"/>
          <w:rtl/>
        </w:rPr>
        <w:t xml:space="preserve"> - מס בריאות, תקציב המדינה וכן מהשתתפויות עצמיות של המבוטחים ואם תקציבן גרעוני- גרעון זה מכוסה על ידי המדינה. יובהר כי ההצדקות להענקת ההגנות לקופת חולים קיימות רק במקרה שבו קופת החולים פועלת במסגרת פעילותה לפי סל השירותים. לכן, למשל</w:t>
      </w:r>
      <w:r w:rsidR="00AF7FEF">
        <w:rPr>
          <w:rFonts w:hint="cs"/>
          <w:color w:val="000000"/>
          <w:sz w:val="26"/>
          <w:szCs w:val="26"/>
          <w:rtl/>
        </w:rPr>
        <w:t>,</w:t>
      </w:r>
      <w:r w:rsidRPr="000B7A40">
        <w:rPr>
          <w:color w:val="000000"/>
          <w:sz w:val="26"/>
          <w:szCs w:val="26"/>
          <w:rtl/>
        </w:rPr>
        <w:t xml:space="preserve"> פעילות קופות החולים במסגרת שירותי הבריאות הנוספים כמשמעותם בסעיף 10 לחוק ביטוח בריאות ממלכתי, לא תיכלל במסגרת ההגנה ובמקרה זה ובמקרים נוספים ניתן יהיה להגיש נגד קופת החולים תביעה לפי פרט 1 לתוספת </w:t>
      </w:r>
      <w:proofErr w:type="spellStart"/>
      <w:r w:rsidRPr="000B7A40">
        <w:rPr>
          <w:color w:val="000000"/>
          <w:sz w:val="26"/>
          <w:szCs w:val="26"/>
          <w:rtl/>
        </w:rPr>
        <w:t>השניה</w:t>
      </w:r>
      <w:proofErr w:type="spellEnd"/>
      <w:r w:rsidRPr="000B7A40">
        <w:rPr>
          <w:color w:val="000000"/>
          <w:sz w:val="26"/>
          <w:szCs w:val="26"/>
          <w:rtl/>
        </w:rPr>
        <w:t xml:space="preserve"> לחוק.</w:t>
      </w:r>
    </w:p>
    <w:p w14:paraId="72850D48" w14:textId="516D2B68" w:rsidR="004553A1" w:rsidRPr="00273134" w:rsidRDefault="004553A1" w:rsidP="008F3E43">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להשלמת התמונה יצוין כי ביום י' באב </w:t>
      </w:r>
      <w:proofErr w:type="spellStart"/>
      <w:r w:rsidRPr="000B7A40">
        <w:rPr>
          <w:color w:val="000000"/>
          <w:sz w:val="26"/>
          <w:szCs w:val="26"/>
          <w:rtl/>
        </w:rPr>
        <w:t>התשפ"א</w:t>
      </w:r>
      <w:proofErr w:type="spellEnd"/>
      <w:r w:rsidRPr="000B7A40">
        <w:rPr>
          <w:color w:val="000000"/>
          <w:sz w:val="26"/>
          <w:szCs w:val="26"/>
          <w:rtl/>
        </w:rPr>
        <w:t xml:space="preserve"> (19 ביולי 2021) נפסק בבג"ץ 6451/18 גיא חיון נ' בית הדין הארצי לעבודה (</w:t>
      </w:r>
      <w:r w:rsidR="0024017C">
        <w:rPr>
          <w:rFonts w:hint="cs"/>
          <w:color w:val="000000"/>
          <w:sz w:val="26"/>
          <w:szCs w:val="26"/>
          <w:rtl/>
        </w:rPr>
        <w:t xml:space="preserve">פורסם </w:t>
      </w:r>
      <w:proofErr w:type="spellStart"/>
      <w:r w:rsidR="0024017C">
        <w:rPr>
          <w:rFonts w:hint="cs"/>
          <w:color w:val="000000"/>
          <w:sz w:val="26"/>
          <w:szCs w:val="26"/>
          <w:rtl/>
        </w:rPr>
        <w:t>באר</w:t>
      </w:r>
      <w:r w:rsidR="0024017C">
        <w:rPr>
          <w:color w:val="000000"/>
          <w:sz w:val="26"/>
          <w:szCs w:val="26"/>
          <w:rtl/>
        </w:rPr>
        <w:t>"</w:t>
      </w:r>
      <w:r w:rsidR="0024017C">
        <w:rPr>
          <w:rFonts w:hint="cs"/>
          <w:color w:val="000000"/>
          <w:sz w:val="26"/>
          <w:szCs w:val="26"/>
          <w:rtl/>
        </w:rPr>
        <w:t>ש</w:t>
      </w:r>
      <w:proofErr w:type="spellEnd"/>
      <w:r w:rsidR="0024017C">
        <w:rPr>
          <w:rFonts w:hint="cs"/>
          <w:color w:val="000000"/>
          <w:sz w:val="26"/>
          <w:szCs w:val="26"/>
          <w:rtl/>
        </w:rPr>
        <w:t>,</w:t>
      </w:r>
      <w:r w:rsidRPr="000B7A40">
        <w:rPr>
          <w:color w:val="000000"/>
          <w:sz w:val="26"/>
          <w:szCs w:val="26"/>
          <w:rtl/>
        </w:rPr>
        <w:t xml:space="preserve"> 19.07.2021), בהתאם לעמדת היועץ המשפטי לממשלה, כי "קופות החולים אינן "רשות" לא באופן כללי, ולא לעניין גביית דמי ההשתתפות העצמית בגין שירותים הניתנים על ידן כחלק מסל הבריאות" (סעיף 26 לפסק הדין). </w:t>
      </w:r>
      <w:r w:rsidR="008F3E43">
        <w:rPr>
          <w:rFonts w:hint="cs"/>
          <w:color w:val="000000"/>
          <w:sz w:val="26"/>
          <w:szCs w:val="26"/>
          <w:rtl/>
        </w:rPr>
        <w:t xml:space="preserve">עם זאת, </w:t>
      </w:r>
      <w:r w:rsidRPr="000B7A40">
        <w:rPr>
          <w:color w:val="000000"/>
          <w:sz w:val="26"/>
          <w:szCs w:val="26"/>
          <w:rtl/>
        </w:rPr>
        <w:t xml:space="preserve">בעמדת היועץ המשפטי לממשלה לבג"ץ צוין כי הגורמים </w:t>
      </w:r>
      <w:r w:rsidRPr="00273134">
        <w:rPr>
          <w:color w:val="000000"/>
          <w:sz w:val="26"/>
          <w:szCs w:val="26"/>
          <w:rtl/>
        </w:rPr>
        <w:t>המקצועיים במדינה בוחנים את האפשרות לקדם תיקון חקיקה אשר יעניק הגנות מתאימות לקופות החולים מחמת אופיין המיוחד</w:t>
      </w:r>
      <w:r w:rsidR="008F3E43" w:rsidRPr="00273134">
        <w:rPr>
          <w:rFonts w:hint="cs"/>
          <w:color w:val="000000"/>
          <w:sz w:val="26"/>
          <w:szCs w:val="26"/>
          <w:rtl/>
        </w:rPr>
        <w:t xml:space="preserve"> ומכאן התיקון המוצע</w:t>
      </w:r>
      <w:r w:rsidRPr="00273134">
        <w:rPr>
          <w:color w:val="000000"/>
          <w:sz w:val="26"/>
          <w:szCs w:val="26"/>
          <w:rtl/>
        </w:rPr>
        <w:t xml:space="preserve">. </w:t>
      </w:r>
    </w:p>
    <w:p w14:paraId="755B8A79" w14:textId="3BB18468"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Pr>
      </w:pPr>
      <w:r w:rsidRPr="00273134">
        <w:rPr>
          <w:color w:val="000000"/>
          <w:sz w:val="26"/>
          <w:szCs w:val="26"/>
          <w:rtl/>
        </w:rPr>
        <w:t>לאור האמור לעיל, מוצע ב</w:t>
      </w:r>
      <w:r w:rsidRPr="00273134">
        <w:rPr>
          <w:rFonts w:hint="eastAsia"/>
          <w:color w:val="000000"/>
          <w:sz w:val="26"/>
          <w:szCs w:val="26"/>
          <w:rtl/>
        </w:rPr>
        <w:t>סעיף</w:t>
      </w:r>
      <w:r w:rsidRPr="00273134">
        <w:rPr>
          <w:color w:val="000000"/>
          <w:sz w:val="26"/>
          <w:szCs w:val="26"/>
          <w:rtl/>
        </w:rPr>
        <w:t xml:space="preserve"> </w:t>
      </w:r>
      <w:r w:rsidR="00C655D1" w:rsidRPr="00273134">
        <w:rPr>
          <w:rFonts w:hint="cs"/>
          <w:color w:val="000000"/>
          <w:sz w:val="26"/>
          <w:szCs w:val="26"/>
          <w:rtl/>
        </w:rPr>
        <w:t>24</w:t>
      </w:r>
      <w:r w:rsidR="00A355F9" w:rsidRPr="00273134">
        <w:rPr>
          <w:color w:val="000000"/>
          <w:sz w:val="26"/>
          <w:szCs w:val="26"/>
          <w:rtl/>
        </w:rPr>
        <w:t xml:space="preserve"> </w:t>
      </w:r>
      <w:r w:rsidRPr="00273134">
        <w:rPr>
          <w:color w:val="000000"/>
          <w:sz w:val="26"/>
          <w:szCs w:val="26"/>
          <w:rtl/>
        </w:rPr>
        <w:t>לקבוע</w:t>
      </w:r>
      <w:r w:rsidRPr="000B7A40">
        <w:rPr>
          <w:color w:val="000000"/>
          <w:sz w:val="26"/>
          <w:szCs w:val="26"/>
          <w:rtl/>
        </w:rPr>
        <w:t xml:space="preserve"> פרט מיוחד בתוספת השנייה, פרט 17 המוצע, לתביעה כנגד קופות חולים במקרה של גביית כספים שלא כדין בקשר לפעילותן לפי סעיפים 7,7א ו- 8 לחוק ביטוח בריאות ממלכתי, שעניינם סל שירותי הבריאות, ובכך לתת להן מעמד מיוחד בחוק יחד עם הענקת ההגנות הקבועות לרשות בסעיפים 9 ו- 21 לחוק תובענות ייצוגיות.</w:t>
      </w:r>
    </w:p>
    <w:p w14:paraId="53DC45F5" w14:textId="77777777"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יובהר כי במקרה של גביית כספים שלא כדין כאמור על ידי קופת חולים, ניתן יהיה להגיש תובענה ייצוגית נגד הקופה לפי פרט מוצע זה בלבד, ולא לפי פרט אחר בתוספת.</w:t>
      </w:r>
    </w:p>
    <w:p w14:paraId="4474A78A" w14:textId="77777777"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בדומה להצעה זו מוצע להקנות את ההגנות המוקנות כיום לרשות בחוק תובענות ייצוגיות גם לתאגיד מים וביוב המצוי בשליטת רשות מקומית וכן למועצה מקומית כהגדרתם בפרט 16 המוצע. </w:t>
      </w:r>
    </w:p>
    <w:p w14:paraId="4A4C2350" w14:textId="7C485BA1"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ביום י"ט בכסלו </w:t>
      </w:r>
      <w:proofErr w:type="spellStart"/>
      <w:r w:rsidRPr="000B7A40">
        <w:rPr>
          <w:color w:val="000000"/>
          <w:sz w:val="26"/>
          <w:szCs w:val="26"/>
          <w:rtl/>
        </w:rPr>
        <w:t>התש"ף</w:t>
      </w:r>
      <w:proofErr w:type="spellEnd"/>
      <w:r w:rsidRPr="000B7A40">
        <w:rPr>
          <w:color w:val="000000"/>
          <w:sz w:val="26"/>
          <w:szCs w:val="26"/>
          <w:rtl/>
        </w:rPr>
        <w:t xml:space="preserve"> (17 בדצמבר 2019) ניתן פסק דינו של בית המשפט העליון בדיון הנוסף בעניין מי הגליל (</w:t>
      </w:r>
      <w:proofErr w:type="spellStart"/>
      <w:r w:rsidRPr="000B7A40">
        <w:rPr>
          <w:color w:val="000000"/>
          <w:sz w:val="26"/>
          <w:szCs w:val="26"/>
          <w:rtl/>
        </w:rPr>
        <w:t>דנ"מ</w:t>
      </w:r>
      <w:proofErr w:type="spellEnd"/>
      <w:r w:rsidRPr="000B7A40">
        <w:rPr>
          <w:color w:val="000000"/>
          <w:sz w:val="26"/>
          <w:szCs w:val="26"/>
          <w:rtl/>
        </w:rPr>
        <w:t xml:space="preserve"> 5519/15 יוסף אחמד יונס נ' מי הגליל תאגיד המים והביוב האזורי בע"מ (</w:t>
      </w:r>
      <w:r w:rsidR="0024017C">
        <w:rPr>
          <w:rFonts w:hint="cs"/>
          <w:color w:val="000000"/>
          <w:sz w:val="26"/>
          <w:szCs w:val="26"/>
          <w:rtl/>
        </w:rPr>
        <w:t xml:space="preserve">פורסם </w:t>
      </w:r>
      <w:proofErr w:type="spellStart"/>
      <w:r w:rsidR="0024017C">
        <w:rPr>
          <w:rFonts w:hint="cs"/>
          <w:color w:val="000000"/>
          <w:sz w:val="26"/>
          <w:szCs w:val="26"/>
          <w:rtl/>
        </w:rPr>
        <w:t>באר</w:t>
      </w:r>
      <w:r w:rsidR="0024017C">
        <w:rPr>
          <w:color w:val="000000"/>
          <w:sz w:val="26"/>
          <w:szCs w:val="26"/>
          <w:rtl/>
        </w:rPr>
        <w:t>"</w:t>
      </w:r>
      <w:r w:rsidR="0024017C">
        <w:rPr>
          <w:rFonts w:hint="cs"/>
          <w:color w:val="000000"/>
          <w:sz w:val="26"/>
          <w:szCs w:val="26"/>
          <w:rtl/>
        </w:rPr>
        <w:t>ש</w:t>
      </w:r>
      <w:proofErr w:type="spellEnd"/>
      <w:r w:rsidR="0024017C">
        <w:rPr>
          <w:rFonts w:hint="cs"/>
          <w:color w:val="000000"/>
          <w:sz w:val="26"/>
          <w:szCs w:val="26"/>
          <w:rtl/>
        </w:rPr>
        <w:t>,</w:t>
      </w:r>
      <w:r w:rsidRPr="000B7A40">
        <w:rPr>
          <w:color w:val="000000"/>
          <w:sz w:val="26"/>
          <w:szCs w:val="26"/>
          <w:rtl/>
        </w:rPr>
        <w:t xml:space="preserve"> </w:t>
      </w:r>
      <w:r w:rsidRPr="000B7A40">
        <w:rPr>
          <w:color w:val="000000"/>
          <w:sz w:val="26"/>
          <w:szCs w:val="26"/>
          <w:rtl/>
        </w:rPr>
        <w:lastRenderedPageBreak/>
        <w:t>17.12.2019)‏‏</w:t>
      </w:r>
      <w:r w:rsidR="004F524C">
        <w:rPr>
          <w:rFonts w:hint="cs"/>
          <w:color w:val="000000"/>
          <w:sz w:val="26"/>
          <w:szCs w:val="26"/>
          <w:rtl/>
        </w:rPr>
        <w:t xml:space="preserve"> (להלן: הדיון הנוסף בעניין מי הגליל)</w:t>
      </w:r>
      <w:r w:rsidRPr="000B7A40">
        <w:rPr>
          <w:color w:val="000000"/>
          <w:sz w:val="26"/>
          <w:szCs w:val="26"/>
          <w:rtl/>
        </w:rPr>
        <w:t>) אשר הכיר במעמדם של תאגידי המים והביוב כ"רשות".</w:t>
      </w:r>
    </w:p>
    <w:p w14:paraId="65F38728" w14:textId="7057BDDB"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עם זאת, נקבע בפסק דין זה, כעמדת היועץ המשפטי לממשלה, כי לעניין גביית תעריפי מים וביוב מכוח </w:t>
      </w:r>
      <w:r w:rsidR="00AF7FEF">
        <w:rPr>
          <w:rFonts w:hint="cs"/>
          <w:color w:val="000000"/>
          <w:sz w:val="26"/>
          <w:szCs w:val="26"/>
          <w:rtl/>
        </w:rPr>
        <w:t>ה</w:t>
      </w:r>
      <w:r w:rsidRPr="000B7A40">
        <w:rPr>
          <w:color w:val="000000"/>
          <w:sz w:val="26"/>
          <w:szCs w:val="26"/>
          <w:rtl/>
        </w:rPr>
        <w:t>חוק, פועלים התאגידים כ"עוסק", שכן מדובר בחברות בע"מ האמונות על ניהול משק המים העירוני במתכונת של ניהול עסקי, העשוי אף להביא לחלוקת רווחים לבעליהן – הרשויות המקומיות. עוד הודגש כי תעריפי המים והביוב שגובים התאגידים נקבע בהתאם לעיקרון העלות הריאלית המחקה את העקרונות לקביעת מחיר כלכלי בשוק תחרותי.</w:t>
      </w:r>
    </w:p>
    <w:p w14:paraId="4A94F43B" w14:textId="711B69FA"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יצוין כי ללא קביעה זו שלפיה תאגידי המים והביוב פועלים בגביית תעריפי המים והביוב כ"עוסק", לא ניתן היה להגיש תובענה ייצוגית כנגד תאגידי המים בגביית תעריפי המים שכן אלו אינם נכללים בפרט 11 לתוספת </w:t>
      </w:r>
      <w:proofErr w:type="spellStart"/>
      <w:r w:rsidRPr="000B7A40">
        <w:rPr>
          <w:color w:val="000000"/>
          <w:sz w:val="26"/>
          <w:szCs w:val="26"/>
          <w:rtl/>
        </w:rPr>
        <w:t>השניה</w:t>
      </w:r>
      <w:proofErr w:type="spellEnd"/>
      <w:r w:rsidRPr="000B7A40">
        <w:rPr>
          <w:color w:val="000000"/>
          <w:sz w:val="26"/>
          <w:szCs w:val="26"/>
          <w:rtl/>
        </w:rPr>
        <w:t xml:space="preserve"> לחוק תובענות ייצוגיות, כיוון שאין מדובר בתשלומי חובה אלא במחירים (בהתאם לבג"ץ 1195/10 מרכז השלטון המקומי נ' רשות המים ואח' (פורסם ב</w:t>
      </w:r>
      <w:r w:rsidR="0024017C">
        <w:rPr>
          <w:color w:val="000000"/>
          <w:sz w:val="26"/>
          <w:szCs w:val="26"/>
          <w:rtl/>
        </w:rPr>
        <w:t xml:space="preserve">פורסם </w:t>
      </w:r>
      <w:proofErr w:type="spellStart"/>
      <w:r w:rsidR="0024017C">
        <w:rPr>
          <w:color w:val="000000"/>
          <w:sz w:val="26"/>
          <w:szCs w:val="26"/>
          <w:rtl/>
        </w:rPr>
        <w:t>באר"ש</w:t>
      </w:r>
      <w:proofErr w:type="spellEnd"/>
      <w:r w:rsidR="0024017C">
        <w:rPr>
          <w:color w:val="000000"/>
          <w:sz w:val="26"/>
          <w:szCs w:val="26"/>
          <w:rtl/>
        </w:rPr>
        <w:t>,</w:t>
      </w:r>
      <w:r w:rsidRPr="000B7A40">
        <w:rPr>
          <w:color w:val="000000"/>
          <w:sz w:val="26"/>
          <w:szCs w:val="26"/>
          <w:rtl/>
        </w:rPr>
        <w:t xml:space="preserve"> 13.11.2014), שם קבע בית המשפט העליון שתשלום עבור מים הוא בבחינת 'מחיר' ולא </w:t>
      </w:r>
      <w:r w:rsidR="00AF7FEF">
        <w:rPr>
          <w:rFonts w:hint="cs"/>
          <w:color w:val="000000"/>
          <w:sz w:val="26"/>
          <w:szCs w:val="26"/>
          <w:rtl/>
        </w:rPr>
        <w:t>תשלום חובה</w:t>
      </w:r>
      <w:r w:rsidRPr="000B7A40">
        <w:rPr>
          <w:color w:val="000000"/>
          <w:sz w:val="26"/>
          <w:szCs w:val="26"/>
          <w:rtl/>
        </w:rPr>
        <w:t xml:space="preserve">. </w:t>
      </w:r>
    </w:p>
    <w:p w14:paraId="4F6A4816" w14:textId="79C447A0" w:rsidR="004553A1" w:rsidRPr="00273134"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משמעות הקביעות האמורות היא כי חרף סיווגם של התאגידים כ-"רשות" לצורך חוק תובענות ייצוגיות, הם חשופים לתביעות ייצוגיות ככל עוסק המנוי בפרט 1 לתוספת השנייה לחוק. תוצאה זו מעוררת קושי, שכן למרות ה</w:t>
      </w:r>
      <w:r w:rsidRPr="000B7A40">
        <w:rPr>
          <w:rFonts w:hint="eastAsia"/>
          <w:color w:val="000000"/>
          <w:sz w:val="26"/>
          <w:szCs w:val="26"/>
          <w:rtl/>
        </w:rPr>
        <w:t>גדרת</w:t>
      </w:r>
      <w:r w:rsidRPr="000B7A40">
        <w:rPr>
          <w:color w:val="000000"/>
          <w:sz w:val="26"/>
          <w:szCs w:val="26"/>
          <w:rtl/>
        </w:rPr>
        <w:t xml:space="preserve"> המאפיינים העסקיים </w:t>
      </w:r>
      <w:r w:rsidRPr="000B7A40">
        <w:rPr>
          <w:rFonts w:hint="eastAsia"/>
          <w:color w:val="000000"/>
          <w:sz w:val="26"/>
          <w:szCs w:val="26"/>
          <w:rtl/>
        </w:rPr>
        <w:t>במטרת</w:t>
      </w:r>
      <w:r w:rsidRPr="000B7A40">
        <w:rPr>
          <w:color w:val="000000"/>
          <w:sz w:val="26"/>
          <w:szCs w:val="26"/>
          <w:rtl/>
        </w:rPr>
        <w:t xml:space="preserve"> </w:t>
      </w:r>
      <w:r w:rsidRPr="000B7A40">
        <w:rPr>
          <w:rFonts w:hint="eastAsia"/>
          <w:color w:val="000000"/>
          <w:sz w:val="26"/>
          <w:szCs w:val="26"/>
          <w:rtl/>
        </w:rPr>
        <w:t>חוק</w:t>
      </w:r>
      <w:r w:rsidRPr="000B7A40">
        <w:rPr>
          <w:color w:val="000000"/>
          <w:sz w:val="26"/>
          <w:szCs w:val="26"/>
          <w:rtl/>
        </w:rPr>
        <w:t xml:space="preserve"> </w:t>
      </w:r>
      <w:r w:rsidRPr="000B7A40">
        <w:rPr>
          <w:rFonts w:hint="eastAsia"/>
          <w:color w:val="000000"/>
          <w:sz w:val="26"/>
          <w:szCs w:val="26"/>
          <w:rtl/>
        </w:rPr>
        <w:t>תאגידי</w:t>
      </w:r>
      <w:r w:rsidRPr="000B7A40">
        <w:rPr>
          <w:color w:val="000000"/>
          <w:sz w:val="26"/>
          <w:szCs w:val="26"/>
          <w:rtl/>
        </w:rPr>
        <w:t xml:space="preserve"> </w:t>
      </w:r>
      <w:r w:rsidRPr="000B7A40">
        <w:rPr>
          <w:rFonts w:hint="eastAsia"/>
          <w:color w:val="000000"/>
          <w:sz w:val="26"/>
          <w:szCs w:val="26"/>
          <w:rtl/>
        </w:rPr>
        <w:t>מים</w:t>
      </w:r>
      <w:r w:rsidRPr="000B7A40">
        <w:rPr>
          <w:color w:val="000000"/>
          <w:sz w:val="26"/>
          <w:szCs w:val="26"/>
          <w:rtl/>
        </w:rPr>
        <w:t xml:space="preserve"> וביוב, התשס"א-2001 (להלן - חוק תאגידי המים), אין מקום להשוואה מלאה בינם לבין עוסק פרטי בהקשר הנדון. תאגידי המים והביוב, כל עוד הם נמצאים בשליטה מלאה של הרשויות המקומיות, פועלים למטרה ציבורית ומעניקים שירות חיוני, שאינו ניתן לוויתור, לתושבי מדינת ישראל. השירות ניתן במסגרת מונופול אזורי כאשר תעריפי המים מפוקחים ונקבעים על ידי מועצת הרשות הממשלתית למים וביוב בהתאם להוראות חוק תאגידי המים בעקרון של "משק כספי סגור" וכאשר התעריפים הם מקור המימון העיקרי של התאגידים. בנוסף, ככלל, תאגידי המים והביוב אינם מוסמכים לפי חוק לבצע שירות נוסף מעבר להספקת שירותי מים וביוב המוסדרים בחוק. כפועל יוצא מכך, תאגידי המים והביוב מספקים שירותי מים וביוב המוסדרים בחוק, ואינם מספקים שירותים אחרים ואין להם מקורות הכנסה משמעותיים נוספים. לפיכך, נוצר חשש, הדומה לחשש החל על רשויות ציבוריות המנויות בפרט 11 לתוספת </w:t>
      </w:r>
      <w:proofErr w:type="spellStart"/>
      <w:r w:rsidRPr="000B7A40">
        <w:rPr>
          <w:color w:val="000000"/>
          <w:sz w:val="26"/>
          <w:szCs w:val="26"/>
          <w:rtl/>
        </w:rPr>
        <w:t>השניה</w:t>
      </w:r>
      <w:proofErr w:type="spellEnd"/>
      <w:r w:rsidRPr="000B7A40">
        <w:rPr>
          <w:color w:val="000000"/>
          <w:sz w:val="26"/>
          <w:szCs w:val="26"/>
          <w:rtl/>
        </w:rPr>
        <w:t xml:space="preserve"> לחוק תובענות ייצוגיות, כי חיובו של התאגיד בתשלום סכום כסף משמעותי עקב קבלת תובענה ייצוגית שהוגשה נגדו בכובעו כ"עוסק", עלול לפגוע בפעילותו של התאגיד, באיתנות הפיננסית שלו וביכולתו להמשיך לספק את שירותי המים והביוב החיוניים לתושבי הרשות המקומית. כתוצאה נלווית, עלול הדבר להביא לקושי במתן השירות או לירידה ברמתו </w:t>
      </w:r>
      <w:r w:rsidRPr="00273134">
        <w:rPr>
          <w:color w:val="000000"/>
          <w:sz w:val="26"/>
          <w:szCs w:val="26"/>
          <w:rtl/>
        </w:rPr>
        <w:t xml:space="preserve">או לייקור תעריפי המים לכלל הצרכנים כדי לממן את ההפסד. </w:t>
      </w:r>
    </w:p>
    <w:p w14:paraId="3B5C46DD" w14:textId="3C54A094"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273134">
        <w:rPr>
          <w:color w:val="000000"/>
          <w:sz w:val="26"/>
          <w:szCs w:val="26"/>
          <w:rtl/>
        </w:rPr>
        <w:t xml:space="preserve">לאור המאפיינים הייחודיים של תאגידי המים והמועצות המקומיות כהגדרתם המוצעת וכפי שפורטו לעיל, מוצע </w:t>
      </w:r>
      <w:r w:rsidRPr="00273134">
        <w:rPr>
          <w:rFonts w:hint="eastAsia"/>
          <w:color w:val="000000"/>
          <w:sz w:val="26"/>
          <w:szCs w:val="26"/>
          <w:rtl/>
        </w:rPr>
        <w:t>בסעיף</w:t>
      </w:r>
      <w:r w:rsidRPr="00273134">
        <w:rPr>
          <w:color w:val="000000"/>
          <w:sz w:val="26"/>
          <w:szCs w:val="26"/>
          <w:rtl/>
        </w:rPr>
        <w:t xml:space="preserve"> 24 לקבוע פרט ייחודי בתוספת </w:t>
      </w:r>
      <w:proofErr w:type="spellStart"/>
      <w:r w:rsidRPr="00273134">
        <w:rPr>
          <w:color w:val="000000"/>
          <w:sz w:val="26"/>
          <w:szCs w:val="26"/>
          <w:rtl/>
        </w:rPr>
        <w:t>השניה</w:t>
      </w:r>
      <w:proofErr w:type="spellEnd"/>
      <w:r w:rsidRPr="00273134">
        <w:rPr>
          <w:color w:val="000000"/>
          <w:sz w:val="26"/>
          <w:szCs w:val="26"/>
          <w:rtl/>
        </w:rPr>
        <w:t>, פרט 16, ל</w:t>
      </w:r>
      <w:r w:rsidRPr="00273134">
        <w:rPr>
          <w:rFonts w:hint="eastAsia"/>
          <w:color w:val="000000"/>
          <w:sz w:val="26"/>
          <w:szCs w:val="26"/>
          <w:rtl/>
        </w:rPr>
        <w:t>גופים</w:t>
      </w:r>
      <w:r w:rsidRPr="00273134">
        <w:rPr>
          <w:color w:val="000000"/>
          <w:sz w:val="26"/>
          <w:szCs w:val="26"/>
          <w:rtl/>
        </w:rPr>
        <w:t xml:space="preserve"> אלו ולהעניק להם את ההגנות של רשות כאמור.</w:t>
      </w:r>
      <w:r w:rsidRPr="000B7A40">
        <w:rPr>
          <w:color w:val="000000"/>
          <w:sz w:val="26"/>
          <w:szCs w:val="26"/>
          <w:rtl/>
        </w:rPr>
        <w:t xml:space="preserve"> </w:t>
      </w:r>
    </w:p>
    <w:p w14:paraId="5E176214" w14:textId="537CC9EE"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יובהר כי במקרה של גביית כספים שלא כדין על ידי תאגידי המים והביוב אשר נמצאים כאמור </w:t>
      </w:r>
      <w:r w:rsidRPr="000B7A40">
        <w:rPr>
          <w:rFonts w:hint="eastAsia"/>
          <w:color w:val="000000"/>
          <w:sz w:val="26"/>
          <w:szCs w:val="26"/>
          <w:rtl/>
        </w:rPr>
        <w:t>בשליטה</w:t>
      </w:r>
      <w:r w:rsidRPr="000B7A40">
        <w:rPr>
          <w:color w:val="000000"/>
          <w:sz w:val="26"/>
          <w:szCs w:val="26"/>
          <w:rtl/>
        </w:rPr>
        <w:t xml:space="preserve"> של הרשויות המקומיות (או </w:t>
      </w:r>
      <w:r w:rsidR="00AF7FEF">
        <w:rPr>
          <w:rFonts w:hint="cs"/>
          <w:color w:val="000000"/>
          <w:sz w:val="26"/>
          <w:szCs w:val="26"/>
          <w:rtl/>
        </w:rPr>
        <w:t xml:space="preserve">גבייה על ידי </w:t>
      </w:r>
      <w:r w:rsidRPr="000B7A40">
        <w:rPr>
          <w:color w:val="000000"/>
          <w:sz w:val="26"/>
          <w:szCs w:val="26"/>
          <w:rtl/>
        </w:rPr>
        <w:t>המועצות ה</w:t>
      </w:r>
      <w:r w:rsidRPr="000B7A40">
        <w:rPr>
          <w:rFonts w:hint="eastAsia"/>
          <w:color w:val="000000"/>
          <w:sz w:val="26"/>
          <w:szCs w:val="26"/>
          <w:rtl/>
        </w:rPr>
        <w:t>מקומיות</w:t>
      </w:r>
      <w:r w:rsidRPr="000B7A40">
        <w:rPr>
          <w:color w:val="000000"/>
          <w:sz w:val="26"/>
          <w:szCs w:val="26"/>
          <w:rtl/>
        </w:rPr>
        <w:t xml:space="preserve"> כאמור לעיל), ניתן יהיה להגיש תובענה ייצוגית לפי פרט מוצע זה בלבד ולא לפי פרט אחר בתוספת.</w:t>
      </w:r>
    </w:p>
    <w:p w14:paraId="02CC73E9" w14:textId="446EA1F6" w:rsidR="004553A1"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כמו כן, מוצע </w:t>
      </w:r>
      <w:r w:rsidRPr="000B7A40">
        <w:rPr>
          <w:rFonts w:hint="eastAsia"/>
          <w:color w:val="000000"/>
          <w:sz w:val="26"/>
          <w:szCs w:val="26"/>
          <w:rtl/>
        </w:rPr>
        <w:t>לקבוע</w:t>
      </w:r>
      <w:r w:rsidRPr="000B7A40">
        <w:rPr>
          <w:color w:val="000000"/>
          <w:sz w:val="26"/>
          <w:szCs w:val="26"/>
          <w:rtl/>
        </w:rPr>
        <w:t xml:space="preserve"> את עילת התובענה נגד </w:t>
      </w:r>
      <w:r w:rsidRPr="000B7A40">
        <w:rPr>
          <w:rFonts w:hint="eastAsia"/>
          <w:color w:val="000000"/>
          <w:sz w:val="26"/>
          <w:szCs w:val="26"/>
          <w:rtl/>
        </w:rPr>
        <w:t>רשות</w:t>
      </w:r>
      <w:r w:rsidRPr="000B7A40">
        <w:rPr>
          <w:color w:val="000000"/>
          <w:sz w:val="26"/>
          <w:szCs w:val="26"/>
          <w:rtl/>
        </w:rPr>
        <w:t xml:space="preserve"> </w:t>
      </w:r>
      <w:r w:rsidRPr="000B7A40">
        <w:rPr>
          <w:rFonts w:hint="eastAsia"/>
          <w:color w:val="000000"/>
          <w:sz w:val="26"/>
          <w:szCs w:val="26"/>
          <w:rtl/>
        </w:rPr>
        <w:t>מקרקעי</w:t>
      </w:r>
      <w:r w:rsidRPr="000B7A40">
        <w:rPr>
          <w:color w:val="000000"/>
          <w:sz w:val="26"/>
          <w:szCs w:val="26"/>
          <w:rtl/>
        </w:rPr>
        <w:t xml:space="preserve"> </w:t>
      </w:r>
      <w:r w:rsidRPr="000B7A40">
        <w:rPr>
          <w:rFonts w:hint="eastAsia"/>
          <w:color w:val="000000"/>
          <w:sz w:val="26"/>
          <w:szCs w:val="26"/>
          <w:rtl/>
        </w:rPr>
        <w:t>ישראל</w:t>
      </w:r>
      <w:r w:rsidR="007B6652">
        <w:rPr>
          <w:rFonts w:hint="cs"/>
          <w:color w:val="000000"/>
          <w:sz w:val="26"/>
          <w:szCs w:val="26"/>
          <w:rtl/>
        </w:rPr>
        <w:t xml:space="preserve"> המעוגנת כיום בפרט 11,</w:t>
      </w:r>
      <w:r w:rsidRPr="000B7A40">
        <w:rPr>
          <w:color w:val="000000"/>
          <w:sz w:val="26"/>
          <w:szCs w:val="26"/>
          <w:rtl/>
        </w:rPr>
        <w:t xml:space="preserve"> בפרט נפרד בתוספת </w:t>
      </w:r>
      <w:proofErr w:type="spellStart"/>
      <w:r w:rsidRPr="000B7A40">
        <w:rPr>
          <w:color w:val="000000"/>
          <w:sz w:val="26"/>
          <w:szCs w:val="26"/>
          <w:rtl/>
        </w:rPr>
        <w:t>השניה</w:t>
      </w:r>
      <w:proofErr w:type="spellEnd"/>
      <w:r w:rsidRPr="000B7A40">
        <w:rPr>
          <w:color w:val="000000"/>
          <w:sz w:val="26"/>
          <w:szCs w:val="26"/>
          <w:rtl/>
        </w:rPr>
        <w:t xml:space="preserve"> לחוק – פרט 15, כך שפרט 11 לתוספת </w:t>
      </w:r>
      <w:proofErr w:type="spellStart"/>
      <w:r w:rsidRPr="000B7A40">
        <w:rPr>
          <w:rFonts w:hint="eastAsia"/>
          <w:color w:val="000000"/>
          <w:sz w:val="26"/>
          <w:szCs w:val="26"/>
          <w:rtl/>
        </w:rPr>
        <w:t>השניה</w:t>
      </w:r>
      <w:proofErr w:type="spellEnd"/>
      <w:r w:rsidRPr="000B7A40">
        <w:rPr>
          <w:color w:val="000000"/>
          <w:sz w:val="26"/>
          <w:szCs w:val="26"/>
          <w:rtl/>
        </w:rPr>
        <w:t xml:space="preserve"> יתייחס רק לתביעות נגד הרשות בגביית תשלומי חובה. יובהר כי במקרה של גביית כספים שלא כדין על ידי </w:t>
      </w:r>
      <w:proofErr w:type="spellStart"/>
      <w:r w:rsidRPr="000B7A40">
        <w:rPr>
          <w:color w:val="000000"/>
          <w:sz w:val="26"/>
          <w:szCs w:val="26"/>
          <w:rtl/>
        </w:rPr>
        <w:t>רמ"י</w:t>
      </w:r>
      <w:proofErr w:type="spellEnd"/>
      <w:r w:rsidRPr="000B7A40">
        <w:rPr>
          <w:color w:val="000000"/>
          <w:sz w:val="26"/>
          <w:szCs w:val="26"/>
          <w:rtl/>
        </w:rPr>
        <w:t xml:space="preserve">, ניתן יהיה להגיש תובענה ייצוגית </w:t>
      </w:r>
      <w:r w:rsidRPr="000B7A40">
        <w:rPr>
          <w:color w:val="000000"/>
          <w:sz w:val="26"/>
          <w:szCs w:val="26"/>
          <w:rtl/>
        </w:rPr>
        <w:lastRenderedPageBreak/>
        <w:t>לפי פרט מוצע זה בלבד ולא לפי פרט אחר בתוספת.</w:t>
      </w:r>
    </w:p>
    <w:p w14:paraId="634832EE" w14:textId="63D6C91F" w:rsidR="007B6652" w:rsidRDefault="007B6652" w:rsidP="006B4C3D">
      <w:pPr>
        <w:tabs>
          <w:tab w:val="left" w:pos="1020"/>
        </w:tabs>
        <w:autoSpaceDE w:val="0"/>
        <w:autoSpaceDN w:val="0"/>
        <w:adjustRightInd w:val="0"/>
        <w:snapToGrid w:val="0"/>
        <w:ind w:left="0"/>
        <w:contextualSpacing w:val="0"/>
        <w:textAlignment w:val="center"/>
        <w:rPr>
          <w:color w:val="000000"/>
          <w:sz w:val="26"/>
          <w:szCs w:val="26"/>
          <w:rtl/>
        </w:rPr>
      </w:pPr>
    </w:p>
    <w:p w14:paraId="0E28450D" w14:textId="77777777" w:rsidR="0014544C" w:rsidRDefault="007B6652" w:rsidP="0014544C">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סעיף 10</w:t>
      </w:r>
    </w:p>
    <w:p w14:paraId="5B736E00" w14:textId="3ED1B562" w:rsidR="004553A1" w:rsidRPr="0082273B" w:rsidRDefault="007B6652" w:rsidP="0014544C">
      <w:pPr>
        <w:tabs>
          <w:tab w:val="left" w:pos="1020"/>
        </w:tabs>
        <w:autoSpaceDE w:val="0"/>
        <w:autoSpaceDN w:val="0"/>
        <w:adjustRightInd w:val="0"/>
        <w:snapToGrid w:val="0"/>
        <w:ind w:left="0"/>
        <w:contextualSpacing w:val="0"/>
        <w:textAlignment w:val="center"/>
        <w:rPr>
          <w:b/>
          <w:bCs/>
          <w:color w:val="000000"/>
          <w:sz w:val="26"/>
          <w:szCs w:val="26"/>
          <w:rtl/>
        </w:rPr>
      </w:pPr>
      <w:r>
        <w:rPr>
          <w:rFonts w:hint="cs"/>
          <w:b/>
          <w:bCs/>
          <w:color w:val="000000"/>
          <w:sz w:val="26"/>
          <w:szCs w:val="26"/>
          <w:rtl/>
        </w:rPr>
        <w:t>ל</w:t>
      </w:r>
      <w:r w:rsidR="004553A1" w:rsidRPr="0082273B">
        <w:rPr>
          <w:rFonts w:hint="eastAsia"/>
          <w:b/>
          <w:bCs/>
          <w:color w:val="000000"/>
          <w:sz w:val="26"/>
          <w:szCs w:val="26"/>
          <w:rtl/>
        </w:rPr>
        <w:t>סעיף</w:t>
      </w:r>
      <w:r w:rsidR="004553A1" w:rsidRPr="0082273B">
        <w:rPr>
          <w:b/>
          <w:bCs/>
          <w:color w:val="000000"/>
          <w:sz w:val="26"/>
          <w:szCs w:val="26"/>
          <w:rtl/>
        </w:rPr>
        <w:t xml:space="preserve"> </w:t>
      </w:r>
      <w:r w:rsidR="00A37C93" w:rsidRPr="0082273B">
        <w:rPr>
          <w:b/>
          <w:bCs/>
          <w:color w:val="000000"/>
          <w:sz w:val="26"/>
          <w:szCs w:val="26"/>
          <w:rtl/>
        </w:rPr>
        <w:t>9</w:t>
      </w:r>
      <w:r>
        <w:rPr>
          <w:rFonts w:hint="cs"/>
          <w:b/>
          <w:bCs/>
          <w:color w:val="000000"/>
          <w:sz w:val="26"/>
          <w:szCs w:val="26"/>
          <w:rtl/>
        </w:rPr>
        <w:t>א</w:t>
      </w:r>
      <w:r w:rsidR="00CA2DA6" w:rsidRPr="0082273B">
        <w:rPr>
          <w:b/>
          <w:bCs/>
          <w:color w:val="000000"/>
          <w:sz w:val="26"/>
          <w:szCs w:val="26"/>
          <w:rtl/>
        </w:rPr>
        <w:t xml:space="preserve"> בעניין בקשה לאישור בתביעת השבה נגד רשות </w:t>
      </w:r>
      <w:proofErr w:type="spellStart"/>
      <w:r w:rsidR="00CA2DA6" w:rsidRPr="0082273B">
        <w:rPr>
          <w:rFonts w:hint="eastAsia"/>
          <w:b/>
          <w:bCs/>
          <w:color w:val="000000"/>
          <w:sz w:val="26"/>
          <w:szCs w:val="26"/>
          <w:rtl/>
        </w:rPr>
        <w:t>המסים</w:t>
      </w:r>
      <w:proofErr w:type="spellEnd"/>
      <w:r>
        <w:rPr>
          <w:rFonts w:hint="cs"/>
          <w:b/>
          <w:bCs/>
          <w:color w:val="000000"/>
          <w:sz w:val="26"/>
          <w:szCs w:val="26"/>
          <w:rtl/>
        </w:rPr>
        <w:t>:</w:t>
      </w:r>
      <w:r w:rsidR="002E197A">
        <w:rPr>
          <w:rFonts w:hint="cs"/>
          <w:b/>
          <w:bCs/>
          <w:color w:val="000000"/>
          <w:sz w:val="26"/>
          <w:szCs w:val="26"/>
          <w:rtl/>
        </w:rPr>
        <w:t xml:space="preserve"> </w:t>
      </w:r>
    </w:p>
    <w:p w14:paraId="77FD02B2" w14:textId="62B2B207" w:rsidR="00EC0045" w:rsidRDefault="004553A1" w:rsidP="004553A1">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מוצע להוסיף לחוק תובענות ייצוגיות את סעיף 9א המוצע שכותרתו "בקשה לאישור בתביעת השבה נגד רשות המיסים- הוראות מיוחדות". מטרת התיקון היא להחיל את ההגנות של הרשות גם במקרה שבו רשות המיסים אינה הנתבעת הישירה, אלא גורם פרטי גובה את המס ומשלמו לרשות </w:t>
      </w:r>
      <w:proofErr w:type="spellStart"/>
      <w:r w:rsidRPr="000B7A40">
        <w:rPr>
          <w:color w:val="000000"/>
          <w:sz w:val="26"/>
          <w:szCs w:val="26"/>
          <w:rtl/>
        </w:rPr>
        <w:t>המסים</w:t>
      </w:r>
      <w:proofErr w:type="spellEnd"/>
      <w:r w:rsidRPr="000B7A40">
        <w:rPr>
          <w:color w:val="000000"/>
          <w:sz w:val="26"/>
          <w:szCs w:val="26"/>
          <w:rtl/>
        </w:rPr>
        <w:t>.</w:t>
      </w:r>
      <w:r w:rsidR="00AB2AAA">
        <w:rPr>
          <w:color w:val="000000"/>
          <w:sz w:val="26"/>
          <w:szCs w:val="26"/>
          <w:rtl/>
        </w:rPr>
        <w:t xml:space="preserve"> </w:t>
      </w:r>
      <w:r w:rsidR="00EC0045">
        <w:rPr>
          <w:rFonts w:hint="cs"/>
          <w:color w:val="000000"/>
          <w:sz w:val="26"/>
          <w:szCs w:val="26"/>
          <w:rtl/>
        </w:rPr>
        <w:t xml:space="preserve">למשל, בצריכה של שירותים או מוצרים משולם על ידי הלקוח מע"מ אשר נגבה על ידי העוסק הפרטי ומועבר על ידו לרשות </w:t>
      </w:r>
      <w:proofErr w:type="spellStart"/>
      <w:r w:rsidR="00EC0045">
        <w:rPr>
          <w:rFonts w:hint="cs"/>
          <w:color w:val="000000"/>
          <w:sz w:val="26"/>
          <w:szCs w:val="26"/>
          <w:rtl/>
        </w:rPr>
        <w:t>המסים</w:t>
      </w:r>
      <w:proofErr w:type="spellEnd"/>
      <w:r w:rsidR="00EC0045">
        <w:rPr>
          <w:rFonts w:hint="cs"/>
          <w:color w:val="000000"/>
          <w:sz w:val="26"/>
          <w:szCs w:val="26"/>
          <w:rtl/>
        </w:rPr>
        <w:t>.</w:t>
      </w:r>
    </w:p>
    <w:p w14:paraId="2E4E1D7C" w14:textId="6BD77E1A" w:rsidR="00EC0045" w:rsidRDefault="00EC0045" w:rsidP="00EC0045">
      <w:pPr>
        <w:tabs>
          <w:tab w:val="left" w:pos="1020"/>
        </w:tabs>
        <w:autoSpaceDE w:val="0"/>
        <w:autoSpaceDN w:val="0"/>
        <w:adjustRightInd w:val="0"/>
        <w:snapToGrid w:val="0"/>
        <w:ind w:left="0"/>
        <w:contextualSpacing w:val="0"/>
        <w:textAlignment w:val="center"/>
        <w:rPr>
          <w:color w:val="000000"/>
          <w:sz w:val="26"/>
          <w:szCs w:val="26"/>
          <w:rtl/>
        </w:rPr>
      </w:pPr>
      <w:r>
        <w:rPr>
          <w:rFonts w:hint="cs"/>
          <w:color w:val="000000"/>
          <w:sz w:val="26"/>
          <w:szCs w:val="26"/>
          <w:rtl/>
        </w:rPr>
        <w:t xml:space="preserve">תיקון זה מוצע </w:t>
      </w:r>
      <w:r w:rsidRPr="000B7A40">
        <w:rPr>
          <w:color w:val="000000"/>
          <w:sz w:val="26"/>
          <w:szCs w:val="26"/>
          <w:rtl/>
        </w:rPr>
        <w:t xml:space="preserve">מתוך התייחסות לתכלית החקיקה ולהיסטוריה החקיקתית של החלת חוק תובענות ייצוגיות על </w:t>
      </w:r>
      <w:r w:rsidR="00AF7FEF">
        <w:rPr>
          <w:rFonts w:hint="cs"/>
          <w:color w:val="000000"/>
          <w:sz w:val="26"/>
          <w:szCs w:val="26"/>
          <w:rtl/>
        </w:rPr>
        <w:t xml:space="preserve">המדינה, ובכלל זה רשות </w:t>
      </w:r>
      <w:proofErr w:type="spellStart"/>
      <w:r w:rsidR="00AF7FEF">
        <w:rPr>
          <w:rFonts w:hint="cs"/>
          <w:color w:val="000000"/>
          <w:sz w:val="26"/>
          <w:szCs w:val="26"/>
          <w:rtl/>
        </w:rPr>
        <w:t>המסים</w:t>
      </w:r>
      <w:proofErr w:type="spellEnd"/>
      <w:r w:rsidR="00AF7FEF">
        <w:rPr>
          <w:rFonts w:hint="cs"/>
          <w:color w:val="000000"/>
          <w:sz w:val="26"/>
          <w:szCs w:val="26"/>
          <w:rtl/>
        </w:rPr>
        <w:t>,</w:t>
      </w:r>
      <w:r>
        <w:rPr>
          <w:rFonts w:hint="cs"/>
          <w:color w:val="000000"/>
          <w:sz w:val="26"/>
          <w:szCs w:val="26"/>
          <w:rtl/>
        </w:rPr>
        <w:t xml:space="preserve"> ועל מנת </w:t>
      </w:r>
      <w:r w:rsidR="004553A1" w:rsidRPr="000B7A40">
        <w:rPr>
          <w:color w:val="000000"/>
          <w:sz w:val="26"/>
          <w:szCs w:val="26"/>
          <w:rtl/>
        </w:rPr>
        <w:t>שלא לאפשר עקיפה של ההגנות הקבועות בחוק תובענות ייצוגיות עבור רשות המיסים</w:t>
      </w:r>
      <w:r>
        <w:rPr>
          <w:rFonts w:hint="cs"/>
          <w:color w:val="000000"/>
          <w:sz w:val="26"/>
          <w:szCs w:val="26"/>
          <w:rtl/>
        </w:rPr>
        <w:t>.</w:t>
      </w:r>
    </w:p>
    <w:p w14:paraId="3049F146" w14:textId="4BA40B21" w:rsidR="004553A1" w:rsidRPr="000B7A40" w:rsidRDefault="004553A1" w:rsidP="004553A1">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w:t>
      </w:r>
    </w:p>
    <w:p w14:paraId="1FB9DAD4" w14:textId="450D9685"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כאשר מוגשת נגד רשות תובענה ייצוגית על גבייה שלא כדין עומדות לה </w:t>
      </w:r>
      <w:r w:rsidRPr="000B7A40">
        <w:rPr>
          <w:rFonts w:hint="eastAsia"/>
          <w:color w:val="000000"/>
          <w:sz w:val="26"/>
          <w:szCs w:val="26"/>
          <w:rtl/>
        </w:rPr>
        <w:t>כאמור</w:t>
      </w:r>
      <w:r w:rsidRPr="000B7A40">
        <w:rPr>
          <w:color w:val="000000"/>
          <w:sz w:val="26"/>
          <w:szCs w:val="26"/>
          <w:rtl/>
        </w:rPr>
        <w:t xml:space="preserve"> ההגנות שקבועות בחוק תובענות ייצוגיות. עם זאת, במקרה של רשות </w:t>
      </w:r>
      <w:proofErr w:type="spellStart"/>
      <w:r w:rsidRPr="000B7A40">
        <w:rPr>
          <w:color w:val="000000"/>
          <w:sz w:val="26"/>
          <w:szCs w:val="26"/>
          <w:rtl/>
        </w:rPr>
        <w:t>המסים</w:t>
      </w:r>
      <w:proofErr w:type="spellEnd"/>
      <w:r w:rsidRPr="000B7A40">
        <w:rPr>
          <w:color w:val="000000"/>
          <w:sz w:val="26"/>
          <w:szCs w:val="26"/>
          <w:rtl/>
        </w:rPr>
        <w:t xml:space="preserve">, לעיתים </w:t>
      </w:r>
      <w:r w:rsidRPr="00545933">
        <w:rPr>
          <w:color w:val="000000"/>
          <w:sz w:val="26"/>
          <w:szCs w:val="26"/>
          <w:rtl/>
        </w:rPr>
        <w:t>הרשות גובה את המס דרך גורם אחר אשר מעביר לרשות את המס</w:t>
      </w:r>
      <w:r w:rsidR="00AF7FEF" w:rsidRPr="00545933">
        <w:rPr>
          <w:rFonts w:hint="cs"/>
          <w:color w:val="000000"/>
          <w:sz w:val="26"/>
          <w:szCs w:val="26"/>
          <w:rtl/>
        </w:rPr>
        <w:t>.</w:t>
      </w:r>
      <w:r w:rsidR="00AF7FEF" w:rsidRPr="00545933">
        <w:rPr>
          <w:color w:val="000000"/>
          <w:sz w:val="26"/>
          <w:szCs w:val="26"/>
          <w:rtl/>
        </w:rPr>
        <w:t xml:space="preserve"> </w:t>
      </w:r>
      <w:r w:rsidRPr="00545933">
        <w:rPr>
          <w:color w:val="000000"/>
          <w:sz w:val="26"/>
          <w:szCs w:val="26"/>
          <w:rtl/>
        </w:rPr>
        <w:t>כך למשל במקרה שנדון בעניין סירוגה בנוגע לגביית מע"מ. במקרה זה</w:t>
      </w:r>
      <w:r w:rsidR="00AF7FEF" w:rsidRPr="00545933">
        <w:rPr>
          <w:rFonts w:hint="cs"/>
          <w:color w:val="000000"/>
          <w:sz w:val="26"/>
          <w:szCs w:val="26"/>
          <w:rtl/>
        </w:rPr>
        <w:t>,</w:t>
      </w:r>
      <w:r w:rsidRPr="00545933">
        <w:rPr>
          <w:color w:val="000000"/>
          <w:sz w:val="26"/>
          <w:szCs w:val="26"/>
          <w:rtl/>
        </w:rPr>
        <w:t xml:space="preserve"> בהתאם לפסק דין סירוגה, הנזכר בדברי ההסבר לסעיף </w:t>
      </w:r>
      <w:r w:rsidRPr="00545933">
        <w:rPr>
          <w:rFonts w:hint="cs"/>
          <w:color w:val="000000"/>
          <w:sz w:val="26"/>
          <w:szCs w:val="26"/>
          <w:rtl/>
        </w:rPr>
        <w:t>3</w:t>
      </w:r>
      <w:r w:rsidRPr="00545933">
        <w:rPr>
          <w:color w:val="000000"/>
          <w:sz w:val="26"/>
          <w:szCs w:val="26"/>
          <w:rtl/>
        </w:rPr>
        <w:t xml:space="preserve"> המוצע ב</w:t>
      </w:r>
      <w:r w:rsidRPr="00545933">
        <w:rPr>
          <w:rFonts w:hint="cs"/>
          <w:color w:val="000000"/>
          <w:sz w:val="26"/>
          <w:szCs w:val="26"/>
          <w:rtl/>
        </w:rPr>
        <w:t>סעיף</w:t>
      </w:r>
      <w:r w:rsidRPr="00545933">
        <w:rPr>
          <w:color w:val="000000"/>
          <w:sz w:val="26"/>
          <w:szCs w:val="26"/>
          <w:rtl/>
        </w:rPr>
        <w:t xml:space="preserve"> 2</w:t>
      </w:r>
      <w:r w:rsidR="007B6652" w:rsidRPr="00545933">
        <w:rPr>
          <w:rFonts w:hint="cs"/>
          <w:color w:val="000000"/>
          <w:sz w:val="26"/>
          <w:szCs w:val="26"/>
          <w:rtl/>
        </w:rPr>
        <w:t xml:space="preserve"> לתזכיר</w:t>
      </w:r>
      <w:r w:rsidR="007B6652">
        <w:rPr>
          <w:rFonts w:hint="cs"/>
          <w:color w:val="000000"/>
          <w:sz w:val="26"/>
          <w:szCs w:val="26"/>
          <w:rtl/>
        </w:rPr>
        <w:t xml:space="preserve"> זה</w:t>
      </w:r>
      <w:r w:rsidRPr="003A3C50">
        <w:rPr>
          <w:color w:val="000000"/>
          <w:sz w:val="26"/>
          <w:szCs w:val="26"/>
          <w:rtl/>
        </w:rPr>
        <w:t xml:space="preserve">, לא </w:t>
      </w:r>
      <w:r w:rsidRPr="000B7A40">
        <w:rPr>
          <w:color w:val="000000"/>
          <w:sz w:val="26"/>
          <w:szCs w:val="26"/>
          <w:rtl/>
        </w:rPr>
        <w:t xml:space="preserve">יעמדו בפועל לרשות </w:t>
      </w:r>
      <w:proofErr w:type="spellStart"/>
      <w:r w:rsidRPr="000B7A40">
        <w:rPr>
          <w:color w:val="000000"/>
          <w:sz w:val="26"/>
          <w:szCs w:val="26"/>
          <w:rtl/>
        </w:rPr>
        <w:t>המסים</w:t>
      </w:r>
      <w:proofErr w:type="spellEnd"/>
      <w:r w:rsidRPr="000B7A40">
        <w:rPr>
          <w:color w:val="000000"/>
          <w:sz w:val="26"/>
          <w:szCs w:val="26"/>
          <w:rtl/>
        </w:rPr>
        <w:t xml:space="preserve"> ההגנות הקבועות לרשות בחוק תובענות ייצוגיות, על אף שאם התובענה הייתה מוגשת ישירות נגד רשות </w:t>
      </w:r>
      <w:proofErr w:type="spellStart"/>
      <w:r w:rsidRPr="000B7A40">
        <w:rPr>
          <w:color w:val="000000"/>
          <w:sz w:val="26"/>
          <w:szCs w:val="26"/>
          <w:rtl/>
        </w:rPr>
        <w:t>המסים</w:t>
      </w:r>
      <w:proofErr w:type="spellEnd"/>
      <w:r w:rsidRPr="000B7A40">
        <w:rPr>
          <w:color w:val="000000"/>
          <w:sz w:val="26"/>
          <w:szCs w:val="26"/>
          <w:rtl/>
        </w:rPr>
        <w:t xml:space="preserve">, היו עומדות לה ההגנות הקבועות בחוק זה. בית המשפט העליון נימק זאת בכך שההגנות של הרשות הן דיוניות באופיין ועל כן אין בהן כדי לגרוע מזכותם של גופים פרטיים לחזור אל הרשות בתביעת השתתפות או שיפוי בגין </w:t>
      </w:r>
      <w:proofErr w:type="spellStart"/>
      <w:r w:rsidRPr="000B7A40">
        <w:rPr>
          <w:color w:val="000000"/>
          <w:sz w:val="26"/>
          <w:szCs w:val="26"/>
          <w:rtl/>
        </w:rPr>
        <w:t>הסעדים</w:t>
      </w:r>
      <w:proofErr w:type="spellEnd"/>
      <w:r w:rsidRPr="000B7A40">
        <w:rPr>
          <w:color w:val="000000"/>
          <w:sz w:val="26"/>
          <w:szCs w:val="26"/>
          <w:rtl/>
        </w:rPr>
        <w:t xml:space="preserve"> שבהם יחויבו בהליך הייצוגי, אם יש בידם עילה לכך, שכן הם אינם נהנים מהגנות המדינה ומשכך עלולים להיתבע בגין הגביה העודפת שנעשתה לתקופה ארוכה מ- 24 חודשים. </w:t>
      </w:r>
    </w:p>
    <w:p w14:paraId="380CCD09" w14:textId="438D80A0"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במקרים מעין אלו</w:t>
      </w:r>
      <w:r w:rsidR="00AF7FEF">
        <w:rPr>
          <w:rFonts w:hint="cs"/>
          <w:color w:val="000000"/>
          <w:sz w:val="26"/>
          <w:szCs w:val="26"/>
          <w:rtl/>
        </w:rPr>
        <w:t>,</w:t>
      </w:r>
      <w:r w:rsidRPr="000B7A40">
        <w:rPr>
          <w:color w:val="000000"/>
          <w:sz w:val="26"/>
          <w:szCs w:val="26"/>
          <w:rtl/>
        </w:rPr>
        <w:t xml:space="preserve"> של גביית </w:t>
      </w:r>
      <w:proofErr w:type="spellStart"/>
      <w:r w:rsidRPr="000B7A40">
        <w:rPr>
          <w:color w:val="000000"/>
          <w:sz w:val="26"/>
          <w:szCs w:val="26"/>
          <w:rtl/>
        </w:rPr>
        <w:t>מסים</w:t>
      </w:r>
      <w:proofErr w:type="spellEnd"/>
      <w:r w:rsidRPr="000B7A40">
        <w:rPr>
          <w:color w:val="000000"/>
          <w:sz w:val="26"/>
          <w:szCs w:val="26"/>
          <w:rtl/>
        </w:rPr>
        <w:t xml:space="preserve"> עקיפים, התביעה היא במהותה תביעת השבה נגד הרשות עצמה, שכן המס הועבר לקופת הרשות ולא נשאר בידי הגורם הפרטי, כמו במקרה של ניכוי במקור. לכן, מוצע להחיל את ההגנות על רשות </w:t>
      </w:r>
      <w:proofErr w:type="spellStart"/>
      <w:r w:rsidRPr="000B7A40">
        <w:rPr>
          <w:color w:val="000000"/>
          <w:sz w:val="26"/>
          <w:szCs w:val="26"/>
          <w:rtl/>
        </w:rPr>
        <w:t>המסים</w:t>
      </w:r>
      <w:proofErr w:type="spellEnd"/>
      <w:r w:rsidRPr="000B7A40">
        <w:rPr>
          <w:color w:val="000000"/>
          <w:sz w:val="26"/>
          <w:szCs w:val="26"/>
          <w:rtl/>
        </w:rPr>
        <w:t xml:space="preserve"> גם במקרה שבו הרשות אינה הנתבעת הישירה ולקבוע</w:t>
      </w:r>
      <w:r w:rsidRPr="0082273B">
        <w:rPr>
          <w:color w:val="000000"/>
          <w:sz w:val="26"/>
          <w:szCs w:val="26"/>
          <w:rtl/>
        </w:rPr>
        <w:t xml:space="preserve"> כי בכל </w:t>
      </w:r>
      <w:r w:rsidRPr="000B7A40">
        <w:rPr>
          <w:color w:val="000000"/>
          <w:sz w:val="26"/>
          <w:szCs w:val="26"/>
          <w:rtl/>
        </w:rPr>
        <w:t xml:space="preserve">מקרה שבו מוגשת תובענה ייצוגית שעניינה השבת מס, אגרה או תשלום חובה אחר שרשות </w:t>
      </w:r>
      <w:proofErr w:type="spellStart"/>
      <w:r w:rsidRPr="000B7A40">
        <w:rPr>
          <w:color w:val="000000"/>
          <w:sz w:val="26"/>
          <w:szCs w:val="26"/>
          <w:rtl/>
        </w:rPr>
        <w:t>המסים</w:t>
      </w:r>
      <w:proofErr w:type="spellEnd"/>
      <w:r w:rsidRPr="000B7A40">
        <w:rPr>
          <w:color w:val="000000"/>
          <w:sz w:val="26"/>
          <w:szCs w:val="26"/>
          <w:rtl/>
        </w:rPr>
        <w:t xml:space="preserve"> ממונה על גבייתו </w:t>
      </w:r>
      <w:r w:rsidR="00D353C1">
        <w:rPr>
          <w:rFonts w:hint="cs"/>
          <w:color w:val="000000"/>
          <w:sz w:val="26"/>
          <w:szCs w:val="26"/>
          <w:rtl/>
        </w:rPr>
        <w:t xml:space="preserve">והוא מנוי בסעיף </w:t>
      </w:r>
      <w:r w:rsidRPr="000B7A40">
        <w:rPr>
          <w:color w:val="000000"/>
          <w:sz w:val="26"/>
          <w:szCs w:val="26"/>
          <w:rtl/>
        </w:rPr>
        <w:t>ו</w:t>
      </w:r>
      <w:r w:rsidR="00D353C1">
        <w:rPr>
          <w:rFonts w:hint="cs"/>
          <w:color w:val="000000"/>
          <w:sz w:val="26"/>
          <w:szCs w:val="26"/>
          <w:rtl/>
        </w:rPr>
        <w:t xml:space="preserve">כן </w:t>
      </w:r>
      <w:r w:rsidRPr="000B7A40">
        <w:rPr>
          <w:color w:val="000000"/>
          <w:sz w:val="26"/>
          <w:szCs w:val="26"/>
          <w:rtl/>
        </w:rPr>
        <w:t xml:space="preserve">התקיימו לגביו ההוראות האמורות, יורה בית המשפט על המצאת הבקשה לרשות </w:t>
      </w:r>
      <w:proofErr w:type="spellStart"/>
      <w:r w:rsidRPr="000B7A40">
        <w:rPr>
          <w:color w:val="000000"/>
          <w:sz w:val="26"/>
          <w:szCs w:val="26"/>
          <w:rtl/>
        </w:rPr>
        <w:t>המסים</w:t>
      </w:r>
      <w:proofErr w:type="spellEnd"/>
      <w:r w:rsidRPr="000B7A40">
        <w:rPr>
          <w:color w:val="000000"/>
          <w:sz w:val="26"/>
          <w:szCs w:val="26"/>
          <w:rtl/>
        </w:rPr>
        <w:t xml:space="preserve"> והרשות תהיה רשאית להצטרף כצד להליך ואז יחולו על רשות המיסים ההגנות השמורות לרשות בחוק תובענות ייצוגיות. ההגנות יחולו הן על רשות המיסים והן על הגורם הפרטי שגבה את המס עבור הרשות. כלומר, בית המשפט לא ידון בבקשה אלא לאחר שחלפו 90 ימים ממועד המצאת הבקשה לרשות </w:t>
      </w:r>
      <w:proofErr w:type="spellStart"/>
      <w:r w:rsidRPr="000B7A40">
        <w:rPr>
          <w:color w:val="000000"/>
          <w:sz w:val="26"/>
          <w:szCs w:val="26"/>
          <w:rtl/>
        </w:rPr>
        <w:t>המסים</w:t>
      </w:r>
      <w:proofErr w:type="spellEnd"/>
      <w:r w:rsidRPr="000B7A40">
        <w:rPr>
          <w:color w:val="000000"/>
          <w:sz w:val="26"/>
          <w:szCs w:val="26"/>
          <w:rtl/>
        </w:rPr>
        <w:t xml:space="preserve">, כאשר ניתן להאריך את התקופה מטעמים שיירשמו. בתקופה זו רשות </w:t>
      </w:r>
      <w:proofErr w:type="spellStart"/>
      <w:r w:rsidRPr="000B7A40">
        <w:rPr>
          <w:color w:val="000000"/>
          <w:sz w:val="26"/>
          <w:szCs w:val="26"/>
          <w:rtl/>
        </w:rPr>
        <w:t>המסים</w:t>
      </w:r>
      <w:proofErr w:type="spellEnd"/>
      <w:r w:rsidRPr="000B7A40">
        <w:rPr>
          <w:color w:val="000000"/>
          <w:sz w:val="26"/>
          <w:szCs w:val="26"/>
          <w:rtl/>
        </w:rPr>
        <w:t xml:space="preserve"> תבחן את הבקשה לאישור התובענה הייצוגית ותחליט האם יש מקום להצטרף להליך. במקרה שבו רשות </w:t>
      </w:r>
      <w:proofErr w:type="spellStart"/>
      <w:r w:rsidRPr="000B7A40">
        <w:rPr>
          <w:color w:val="000000"/>
          <w:sz w:val="26"/>
          <w:szCs w:val="26"/>
          <w:rtl/>
        </w:rPr>
        <w:t>המסים</w:t>
      </w:r>
      <w:proofErr w:type="spellEnd"/>
      <w:r w:rsidRPr="000B7A40">
        <w:rPr>
          <w:color w:val="000000"/>
          <w:sz w:val="26"/>
          <w:szCs w:val="26"/>
          <w:rtl/>
        </w:rPr>
        <w:t xml:space="preserve"> תודיע כי על הנתבע לחדול מהגביה, התביעה נגד רשות </w:t>
      </w:r>
      <w:proofErr w:type="spellStart"/>
      <w:r w:rsidRPr="000B7A40">
        <w:rPr>
          <w:color w:val="000000"/>
          <w:sz w:val="26"/>
          <w:szCs w:val="26"/>
          <w:rtl/>
        </w:rPr>
        <w:t>המסים</w:t>
      </w:r>
      <w:proofErr w:type="spellEnd"/>
      <w:r w:rsidRPr="000B7A40">
        <w:rPr>
          <w:color w:val="000000"/>
          <w:sz w:val="26"/>
          <w:szCs w:val="26"/>
          <w:rtl/>
        </w:rPr>
        <w:t xml:space="preserve"> לא תאושר. בנוסף, אם הוכח לבית המשפט כי הנתבע שגבה את המס עבור הרשות חדל מהגביה בהתאם להודעת רשות </w:t>
      </w:r>
      <w:proofErr w:type="spellStart"/>
      <w:r w:rsidRPr="000B7A40">
        <w:rPr>
          <w:color w:val="000000"/>
          <w:sz w:val="26"/>
          <w:szCs w:val="26"/>
          <w:rtl/>
        </w:rPr>
        <w:t>המסים</w:t>
      </w:r>
      <w:proofErr w:type="spellEnd"/>
      <w:r w:rsidRPr="000B7A40">
        <w:rPr>
          <w:color w:val="000000"/>
          <w:sz w:val="26"/>
          <w:szCs w:val="26"/>
          <w:rtl/>
        </w:rPr>
        <w:t xml:space="preserve"> בתוך 90 יום ממועד הודעת רשות </w:t>
      </w:r>
      <w:proofErr w:type="spellStart"/>
      <w:r w:rsidRPr="000B7A40">
        <w:rPr>
          <w:color w:val="000000"/>
          <w:sz w:val="26"/>
          <w:szCs w:val="26"/>
          <w:rtl/>
        </w:rPr>
        <w:t>המסים</w:t>
      </w:r>
      <w:proofErr w:type="spellEnd"/>
      <w:r w:rsidRPr="000B7A40">
        <w:rPr>
          <w:color w:val="000000"/>
          <w:sz w:val="26"/>
          <w:szCs w:val="26"/>
          <w:rtl/>
        </w:rPr>
        <w:t xml:space="preserve"> (או מועד מאוחר יותר אם בית המשפט האריך את התקופה מטעמים שיירשמו), בית המשפט לא </w:t>
      </w:r>
      <w:r w:rsidRPr="000B7A40">
        <w:rPr>
          <w:color w:val="000000"/>
          <w:sz w:val="26"/>
          <w:szCs w:val="26"/>
          <w:rtl/>
        </w:rPr>
        <w:lastRenderedPageBreak/>
        <w:t>יאשר את התביעה גם נגד הנתבע.</w:t>
      </w:r>
    </w:p>
    <w:p w14:paraId="5E2299D3" w14:textId="268C4E1F" w:rsidR="004553A1" w:rsidRPr="000B7A40"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כמו כן, אם הצטרפה רשות </w:t>
      </w:r>
      <w:proofErr w:type="spellStart"/>
      <w:r w:rsidRPr="000B7A40">
        <w:rPr>
          <w:color w:val="000000"/>
          <w:sz w:val="26"/>
          <w:szCs w:val="26"/>
          <w:rtl/>
        </w:rPr>
        <w:t>המסים</w:t>
      </w:r>
      <w:proofErr w:type="spellEnd"/>
      <w:r w:rsidRPr="000B7A40">
        <w:rPr>
          <w:color w:val="000000"/>
          <w:sz w:val="26"/>
          <w:szCs w:val="26"/>
          <w:rtl/>
        </w:rPr>
        <w:t xml:space="preserve"> להליך והנתבע לא חדל מלגבות במועד החדילה, יחולו הוראות סעיף 21 לחוק שעניינם הגבלת סעד ההשבה בתובענה ייצוגית נגד רשות, גם על הנתבע</w:t>
      </w:r>
      <w:r w:rsidR="00AF7FEF">
        <w:rPr>
          <w:rFonts w:hint="cs"/>
          <w:color w:val="000000"/>
          <w:sz w:val="26"/>
          <w:szCs w:val="26"/>
          <w:rtl/>
        </w:rPr>
        <w:t>,</w:t>
      </w:r>
      <w:r w:rsidRPr="000B7A40">
        <w:rPr>
          <w:color w:val="000000"/>
          <w:sz w:val="26"/>
          <w:szCs w:val="26"/>
          <w:rtl/>
        </w:rPr>
        <w:t xml:space="preserve"> בשינויים המחויבים.</w:t>
      </w:r>
    </w:p>
    <w:p w14:paraId="70741F66" w14:textId="3D0E0601" w:rsidR="004553A1" w:rsidRPr="00545933" w:rsidRDefault="004553A1" w:rsidP="006B4C3D">
      <w:pPr>
        <w:tabs>
          <w:tab w:val="left" w:pos="1020"/>
        </w:tabs>
        <w:autoSpaceDE w:val="0"/>
        <w:autoSpaceDN w:val="0"/>
        <w:adjustRightInd w:val="0"/>
        <w:snapToGrid w:val="0"/>
        <w:ind w:left="0"/>
        <w:contextualSpacing w:val="0"/>
        <w:textAlignment w:val="center"/>
        <w:rPr>
          <w:color w:val="000000"/>
          <w:sz w:val="26"/>
          <w:szCs w:val="26"/>
          <w:rtl/>
        </w:rPr>
      </w:pPr>
      <w:r w:rsidRPr="000B7A40">
        <w:rPr>
          <w:color w:val="000000"/>
          <w:sz w:val="26"/>
          <w:szCs w:val="26"/>
          <w:rtl/>
        </w:rPr>
        <w:t xml:space="preserve">כאמור, במקרים </w:t>
      </w:r>
      <w:r w:rsidRPr="00545933">
        <w:rPr>
          <w:color w:val="000000"/>
          <w:sz w:val="26"/>
          <w:szCs w:val="26"/>
          <w:rtl/>
        </w:rPr>
        <w:t xml:space="preserve">שבהם החליטה רשות המיסים להצטרף כצד להליך, מהות ההליך היא תביעה נגד רשות המיסים ועל כן מוצע לקבוע כי בית המשפט יורה על העברת התביעה לבית המשפט לעניינים מנהליים כמתחייב מסעיף 5(ב)(2) לחוק תובענות ייצוגיות. </w:t>
      </w:r>
    </w:p>
    <w:p w14:paraId="6B2F8014" w14:textId="1AAB90F0" w:rsidR="007E3CE9" w:rsidRPr="0082273B" w:rsidRDefault="007B6652" w:rsidP="006B4C3D">
      <w:pPr>
        <w:tabs>
          <w:tab w:val="left" w:pos="1020"/>
        </w:tabs>
        <w:autoSpaceDE w:val="0"/>
        <w:autoSpaceDN w:val="0"/>
        <w:adjustRightInd w:val="0"/>
        <w:snapToGrid w:val="0"/>
        <w:ind w:left="0"/>
        <w:contextualSpacing w:val="0"/>
        <w:textAlignment w:val="center"/>
        <w:rPr>
          <w:b/>
          <w:bCs/>
          <w:sz w:val="26"/>
          <w:szCs w:val="26"/>
          <w:rtl/>
        </w:rPr>
      </w:pPr>
      <w:r w:rsidRPr="00545933">
        <w:rPr>
          <w:rFonts w:hint="cs"/>
          <w:b/>
          <w:bCs/>
          <w:sz w:val="26"/>
          <w:szCs w:val="26"/>
          <w:rtl/>
        </w:rPr>
        <w:t>ל</w:t>
      </w:r>
      <w:r w:rsidR="007E3CE9" w:rsidRPr="00545933">
        <w:rPr>
          <w:rFonts w:hint="eastAsia"/>
          <w:b/>
          <w:bCs/>
          <w:sz w:val="26"/>
          <w:szCs w:val="26"/>
          <w:rtl/>
        </w:rPr>
        <w:t>סעיף</w:t>
      </w:r>
      <w:r w:rsidR="007E3CE9" w:rsidRPr="00545933">
        <w:rPr>
          <w:b/>
          <w:bCs/>
          <w:sz w:val="26"/>
          <w:szCs w:val="26"/>
          <w:rtl/>
        </w:rPr>
        <w:t xml:space="preserve"> 9</w:t>
      </w:r>
      <w:r w:rsidRPr="00545933">
        <w:rPr>
          <w:rFonts w:hint="cs"/>
          <w:b/>
          <w:bCs/>
          <w:sz w:val="26"/>
          <w:szCs w:val="26"/>
          <w:rtl/>
        </w:rPr>
        <w:t>ג</w:t>
      </w:r>
      <w:r w:rsidR="007E3CE9" w:rsidRPr="00545933">
        <w:rPr>
          <w:b/>
          <w:bCs/>
          <w:sz w:val="26"/>
          <w:szCs w:val="26"/>
          <w:rtl/>
        </w:rPr>
        <w:t xml:space="preserve"> </w:t>
      </w:r>
      <w:r w:rsidR="007E3CE9" w:rsidRPr="00545933">
        <w:rPr>
          <w:rFonts w:hint="eastAsia"/>
          <w:b/>
          <w:bCs/>
          <w:color w:val="000000"/>
          <w:sz w:val="26"/>
          <w:szCs w:val="26"/>
          <w:rtl/>
        </w:rPr>
        <w:t>בעניין</w:t>
      </w:r>
      <w:r w:rsidR="007E3CE9" w:rsidRPr="00545933">
        <w:rPr>
          <w:b/>
          <w:bCs/>
          <w:sz w:val="26"/>
          <w:szCs w:val="26"/>
          <w:rtl/>
        </w:rPr>
        <w:t xml:space="preserve"> הפרטיות </w:t>
      </w:r>
      <w:r w:rsidRPr="00545933">
        <w:rPr>
          <w:rFonts w:hint="cs"/>
          <w:b/>
          <w:bCs/>
          <w:sz w:val="26"/>
          <w:szCs w:val="26"/>
          <w:rtl/>
        </w:rPr>
        <w:t xml:space="preserve">וסעיף </w:t>
      </w:r>
      <w:r w:rsidR="00DE34A1" w:rsidRPr="00545933">
        <w:rPr>
          <w:rFonts w:hint="cs"/>
          <w:b/>
          <w:bCs/>
          <w:sz w:val="26"/>
          <w:szCs w:val="26"/>
          <w:rtl/>
        </w:rPr>
        <w:t>24</w:t>
      </w:r>
      <w:r w:rsidR="0098383A" w:rsidRPr="00545933">
        <w:rPr>
          <w:rFonts w:hint="cs"/>
          <w:b/>
          <w:bCs/>
          <w:sz w:val="26"/>
          <w:szCs w:val="26"/>
          <w:rtl/>
        </w:rPr>
        <w:t xml:space="preserve"> </w:t>
      </w:r>
      <w:r w:rsidRPr="00545933">
        <w:rPr>
          <w:rFonts w:hint="cs"/>
          <w:b/>
          <w:bCs/>
          <w:sz w:val="26"/>
          <w:szCs w:val="26"/>
          <w:rtl/>
        </w:rPr>
        <w:t>(</w:t>
      </w:r>
      <w:r w:rsidR="007E3CE9" w:rsidRPr="00545933">
        <w:rPr>
          <w:b/>
          <w:bCs/>
          <w:sz w:val="26"/>
          <w:szCs w:val="26"/>
          <w:rtl/>
        </w:rPr>
        <w:t xml:space="preserve">פרט </w:t>
      </w:r>
      <w:r w:rsidRPr="00545933">
        <w:rPr>
          <w:b/>
          <w:bCs/>
          <w:sz w:val="26"/>
          <w:szCs w:val="26"/>
          <w:rtl/>
        </w:rPr>
        <w:t>1</w:t>
      </w:r>
      <w:r w:rsidRPr="00545933">
        <w:rPr>
          <w:rFonts w:hint="cs"/>
          <w:b/>
          <w:bCs/>
          <w:sz w:val="26"/>
          <w:szCs w:val="26"/>
          <w:rtl/>
        </w:rPr>
        <w:t>8):</w:t>
      </w:r>
    </w:p>
    <w:p w14:paraId="53947CE0" w14:textId="77777777" w:rsidR="00A666C4" w:rsidRDefault="007E3CE9" w:rsidP="00A666C4">
      <w:pPr>
        <w:tabs>
          <w:tab w:val="left" w:pos="1020"/>
        </w:tabs>
        <w:autoSpaceDE w:val="0"/>
        <w:autoSpaceDN w:val="0"/>
        <w:adjustRightInd w:val="0"/>
        <w:snapToGrid w:val="0"/>
        <w:ind w:left="0"/>
        <w:contextualSpacing w:val="0"/>
        <w:textAlignment w:val="center"/>
        <w:rPr>
          <w:sz w:val="26"/>
          <w:szCs w:val="26"/>
          <w:rtl/>
        </w:rPr>
      </w:pPr>
      <w:r w:rsidRPr="0082273B">
        <w:rPr>
          <w:rFonts w:hint="eastAsia"/>
          <w:sz w:val="26"/>
          <w:szCs w:val="26"/>
          <w:rtl/>
        </w:rPr>
        <w:t>מוצע</w:t>
      </w:r>
      <w:r w:rsidRPr="0082273B">
        <w:rPr>
          <w:sz w:val="26"/>
          <w:szCs w:val="26"/>
          <w:rtl/>
        </w:rPr>
        <w:t xml:space="preserve"> להוסיף לתוספת </w:t>
      </w:r>
      <w:proofErr w:type="spellStart"/>
      <w:r w:rsidRPr="0082273B">
        <w:rPr>
          <w:rFonts w:hint="eastAsia"/>
          <w:sz w:val="26"/>
          <w:szCs w:val="26"/>
          <w:rtl/>
        </w:rPr>
        <w:t>השניה</w:t>
      </w:r>
      <w:proofErr w:type="spellEnd"/>
      <w:r w:rsidRPr="0082273B">
        <w:rPr>
          <w:sz w:val="26"/>
          <w:szCs w:val="26"/>
          <w:rtl/>
        </w:rPr>
        <w:t xml:space="preserve"> לחוק פרט המאפשר הגשת תובענות ייצוגיות בעילה של פגיעה בפרטיות לפי פסקאות 1, 2, 3, 5-</w:t>
      </w:r>
      <w:r w:rsidR="00A666C4">
        <w:rPr>
          <w:rFonts w:hint="cs"/>
          <w:sz w:val="26"/>
          <w:szCs w:val="26"/>
          <w:rtl/>
        </w:rPr>
        <w:t>9</w:t>
      </w:r>
      <w:r w:rsidRPr="0082273B">
        <w:rPr>
          <w:sz w:val="26"/>
          <w:szCs w:val="26"/>
          <w:rtl/>
        </w:rPr>
        <w:t xml:space="preserve"> או 11 בסעיף 2 לחוק הגנת הפרטיות</w:t>
      </w:r>
      <w:r w:rsidR="007B6652">
        <w:rPr>
          <w:rFonts w:hint="cs"/>
          <w:sz w:val="26"/>
          <w:szCs w:val="26"/>
          <w:rtl/>
        </w:rPr>
        <w:t>, תשמ"א-1981 (להלן: חוק הגנת הפרטיות)</w:t>
      </w:r>
      <w:r w:rsidR="00A666C4">
        <w:rPr>
          <w:rFonts w:hint="cs"/>
          <w:sz w:val="26"/>
          <w:szCs w:val="26"/>
          <w:rtl/>
        </w:rPr>
        <w:t xml:space="preserve">. עוד מוצע לאפשר הגשת תובענה ייצוגית בעילה של הפרת סעיף 8(ב) לחוק הגנת הפרטיות, האוסר על שימוש במידע שבמאגר מידע החייב ברישום, אלא למטרה שלשמה הוקם המאגר, וכן בעילה של הפרת החובה הקבועה בסעיף 11 לחוק הגנת הפרטיות בדבר ההודעה שיש למסור לאדם בעת פניה אליו לקבלת מידע כהגדרתו בחוק הגנת הפרטיות. כמו כן, מוצע לאפשר הגשת תובענה ייצוגית </w:t>
      </w:r>
      <w:r w:rsidR="00A666C4" w:rsidRPr="0082273B">
        <w:rPr>
          <w:sz w:val="26"/>
          <w:szCs w:val="26"/>
          <w:rtl/>
        </w:rPr>
        <w:t xml:space="preserve">בעילה של </w:t>
      </w:r>
      <w:r w:rsidR="00A666C4">
        <w:rPr>
          <w:rFonts w:hint="cs"/>
          <w:sz w:val="26"/>
          <w:szCs w:val="26"/>
          <w:rtl/>
        </w:rPr>
        <w:t>ניהול או החזקת מאגר מידע החייב ברישום חרף החלטת הרשם על סירוב לרשום מאגר מידע או על השהיית רישום המאגר לפי סעיף 10(ב1), ובניגוד להוראת סעיף 10(ב2)</w:t>
      </w:r>
      <w:r w:rsidR="00A666C4" w:rsidRPr="0082273B">
        <w:rPr>
          <w:sz w:val="26"/>
          <w:szCs w:val="26"/>
          <w:rtl/>
        </w:rPr>
        <w:t xml:space="preserve"> לחוק הגנת הפרטיות</w:t>
      </w:r>
      <w:r w:rsidR="00A666C4">
        <w:rPr>
          <w:rFonts w:hint="cs"/>
          <w:sz w:val="26"/>
          <w:szCs w:val="26"/>
          <w:rtl/>
        </w:rPr>
        <w:t xml:space="preserve">, </w:t>
      </w:r>
      <w:bookmarkStart w:id="6" w:name="_Hlk164245396"/>
      <w:r w:rsidR="00A666C4">
        <w:rPr>
          <w:rFonts w:hint="cs"/>
          <w:sz w:val="26"/>
          <w:szCs w:val="26"/>
          <w:rtl/>
        </w:rPr>
        <w:t>או חרף החלטת הרשם על התליית תוקפו או ביטולו של רישום מאגר מידע לפי סעיף 10(ו).</w:t>
      </w:r>
      <w:bookmarkEnd w:id="6"/>
      <w:r w:rsidR="00A666C4">
        <w:rPr>
          <w:rFonts w:hint="cs"/>
          <w:sz w:val="26"/>
          <w:szCs w:val="26"/>
          <w:rtl/>
        </w:rPr>
        <w:t xml:space="preserve"> לבסוף</w:t>
      </w:r>
      <w:r w:rsidR="00A666C4" w:rsidRPr="0082273B">
        <w:rPr>
          <w:sz w:val="26"/>
          <w:szCs w:val="26"/>
          <w:rtl/>
        </w:rPr>
        <w:t xml:space="preserve">, </w:t>
      </w:r>
      <w:r w:rsidR="00A666C4">
        <w:rPr>
          <w:rFonts w:hint="cs"/>
          <w:sz w:val="26"/>
          <w:szCs w:val="26"/>
          <w:rtl/>
        </w:rPr>
        <w:t>מוצע ל</w:t>
      </w:r>
      <w:r w:rsidR="00A666C4" w:rsidRPr="0082273B">
        <w:rPr>
          <w:sz w:val="26"/>
          <w:szCs w:val="26"/>
          <w:rtl/>
        </w:rPr>
        <w:t>אפשר</w:t>
      </w:r>
      <w:r w:rsidR="00A666C4">
        <w:rPr>
          <w:rFonts w:hint="cs"/>
          <w:sz w:val="26"/>
          <w:szCs w:val="26"/>
          <w:rtl/>
        </w:rPr>
        <w:t xml:space="preserve"> הגשת</w:t>
      </w:r>
      <w:r w:rsidR="00A666C4" w:rsidRPr="0082273B">
        <w:rPr>
          <w:sz w:val="26"/>
          <w:szCs w:val="26"/>
          <w:rtl/>
        </w:rPr>
        <w:t xml:space="preserve"> תובענה </w:t>
      </w:r>
      <w:r w:rsidR="00A666C4">
        <w:rPr>
          <w:rFonts w:hint="cs"/>
          <w:sz w:val="26"/>
          <w:szCs w:val="26"/>
          <w:rtl/>
        </w:rPr>
        <w:t xml:space="preserve">ייצוגית </w:t>
      </w:r>
      <w:r w:rsidR="00A666C4" w:rsidRPr="0082273B">
        <w:rPr>
          <w:sz w:val="26"/>
          <w:szCs w:val="26"/>
          <w:rtl/>
        </w:rPr>
        <w:t>בעילה של הפרת הוראה מהוראות תקנות הגנת הפרטיות (אבטחת מידע)</w:t>
      </w:r>
      <w:r w:rsidR="00A666C4">
        <w:rPr>
          <w:rFonts w:hint="cs"/>
          <w:sz w:val="26"/>
          <w:szCs w:val="26"/>
          <w:rtl/>
        </w:rPr>
        <w:t>, התשע"ז-2017,</w:t>
      </w:r>
      <w:r w:rsidR="00A666C4" w:rsidRPr="0082273B">
        <w:rPr>
          <w:sz w:val="26"/>
          <w:szCs w:val="26"/>
          <w:rtl/>
        </w:rPr>
        <w:t xml:space="preserve"> שגרמה לאירוע אבטחה חמור, ביחס לחלק מהותי מהמאגר או ביחס </w:t>
      </w:r>
      <w:r w:rsidR="00A666C4">
        <w:rPr>
          <w:rFonts w:hint="cs"/>
          <w:sz w:val="26"/>
          <w:szCs w:val="26"/>
          <w:rtl/>
        </w:rPr>
        <w:t xml:space="preserve">למידע על אודות </w:t>
      </w:r>
      <w:r w:rsidR="00A666C4" w:rsidRPr="0082273B">
        <w:rPr>
          <w:sz w:val="26"/>
          <w:szCs w:val="26"/>
          <w:rtl/>
        </w:rPr>
        <w:t>למעל</w:t>
      </w:r>
      <w:r w:rsidR="00A666C4">
        <w:rPr>
          <w:rFonts w:hint="cs"/>
          <w:sz w:val="26"/>
          <w:szCs w:val="26"/>
          <w:rtl/>
        </w:rPr>
        <w:t>ה</w:t>
      </w:r>
      <w:r w:rsidR="00A666C4" w:rsidRPr="0082273B">
        <w:rPr>
          <w:sz w:val="26"/>
          <w:szCs w:val="26"/>
          <w:rtl/>
        </w:rPr>
        <w:t xml:space="preserve"> </w:t>
      </w:r>
      <w:r w:rsidR="00A666C4">
        <w:rPr>
          <w:rFonts w:hint="cs"/>
          <w:sz w:val="26"/>
          <w:szCs w:val="26"/>
          <w:rtl/>
        </w:rPr>
        <w:t>מ</w:t>
      </w:r>
      <w:r w:rsidR="00A666C4" w:rsidRPr="0082273B">
        <w:rPr>
          <w:sz w:val="26"/>
          <w:szCs w:val="26"/>
          <w:rtl/>
        </w:rPr>
        <w:t>-1</w:t>
      </w:r>
      <w:r w:rsidR="00A666C4">
        <w:rPr>
          <w:rFonts w:hint="cs"/>
          <w:sz w:val="26"/>
          <w:szCs w:val="26"/>
          <w:rtl/>
        </w:rPr>
        <w:t>,</w:t>
      </w:r>
      <w:r w:rsidR="00A666C4" w:rsidRPr="0082273B">
        <w:rPr>
          <w:sz w:val="26"/>
          <w:szCs w:val="26"/>
          <w:rtl/>
        </w:rPr>
        <w:t xml:space="preserve">000 </w:t>
      </w:r>
      <w:r w:rsidR="00A666C4">
        <w:rPr>
          <w:rFonts w:hint="cs"/>
          <w:sz w:val="26"/>
          <w:szCs w:val="26"/>
          <w:rtl/>
        </w:rPr>
        <w:t>נושאי</w:t>
      </w:r>
      <w:r w:rsidR="00A666C4" w:rsidRPr="0082273B">
        <w:rPr>
          <w:sz w:val="26"/>
          <w:szCs w:val="26"/>
          <w:rtl/>
        </w:rPr>
        <w:t xml:space="preserve"> מ</w:t>
      </w:r>
      <w:r w:rsidR="00A666C4">
        <w:rPr>
          <w:rFonts w:hint="cs"/>
          <w:sz w:val="26"/>
          <w:szCs w:val="26"/>
          <w:rtl/>
        </w:rPr>
        <w:t>י</w:t>
      </w:r>
      <w:r w:rsidR="00A666C4" w:rsidRPr="0082273B">
        <w:rPr>
          <w:sz w:val="26"/>
          <w:szCs w:val="26"/>
          <w:rtl/>
        </w:rPr>
        <w:t>דע, לפי הנמו</w:t>
      </w:r>
      <w:r w:rsidR="00A666C4">
        <w:rPr>
          <w:rFonts w:hint="cs"/>
          <w:sz w:val="26"/>
          <w:szCs w:val="26"/>
          <w:rtl/>
        </w:rPr>
        <w:t>ך</w:t>
      </w:r>
      <w:r w:rsidR="00A666C4" w:rsidRPr="0082273B">
        <w:rPr>
          <w:sz w:val="26"/>
          <w:szCs w:val="26"/>
          <w:rtl/>
        </w:rPr>
        <w:t xml:space="preserve"> מבניהם.</w:t>
      </w:r>
      <w:r w:rsidR="00A666C4">
        <w:rPr>
          <w:rFonts w:hint="cs"/>
          <w:sz w:val="26"/>
          <w:szCs w:val="26"/>
          <w:rtl/>
        </w:rPr>
        <w:t xml:space="preserve"> </w:t>
      </w:r>
    </w:p>
    <w:p w14:paraId="093DB439" w14:textId="50C5E950" w:rsidR="007E3CE9" w:rsidRPr="0082273B" w:rsidRDefault="007E3CE9" w:rsidP="00A666C4">
      <w:pPr>
        <w:tabs>
          <w:tab w:val="left" w:pos="1020"/>
        </w:tabs>
        <w:autoSpaceDE w:val="0"/>
        <w:autoSpaceDN w:val="0"/>
        <w:adjustRightInd w:val="0"/>
        <w:snapToGrid w:val="0"/>
        <w:ind w:left="0"/>
        <w:contextualSpacing w:val="0"/>
        <w:textAlignment w:val="center"/>
        <w:rPr>
          <w:sz w:val="26"/>
          <w:szCs w:val="26"/>
          <w:rtl/>
        </w:rPr>
      </w:pPr>
      <w:r w:rsidRPr="0082273B">
        <w:rPr>
          <w:sz w:val="26"/>
          <w:szCs w:val="26"/>
          <w:rtl/>
        </w:rPr>
        <w:t xml:space="preserve">כיום, תביעה בעילה לפי חוק </w:t>
      </w:r>
      <w:r w:rsidRPr="0082273B">
        <w:rPr>
          <w:rFonts w:hint="eastAsia"/>
          <w:sz w:val="26"/>
          <w:szCs w:val="26"/>
          <w:rtl/>
        </w:rPr>
        <w:t>הגנת</w:t>
      </w:r>
      <w:r w:rsidRPr="0082273B">
        <w:rPr>
          <w:sz w:val="26"/>
          <w:szCs w:val="26"/>
          <w:rtl/>
        </w:rPr>
        <w:t xml:space="preserve"> הפרטיות אינה מהווה עילה נפרדת בתוספת </w:t>
      </w:r>
      <w:proofErr w:type="spellStart"/>
      <w:r w:rsidRPr="0082273B">
        <w:rPr>
          <w:sz w:val="26"/>
          <w:szCs w:val="26"/>
          <w:rtl/>
        </w:rPr>
        <w:t>השניה</w:t>
      </w:r>
      <w:proofErr w:type="spellEnd"/>
      <w:r w:rsidRPr="0082273B">
        <w:rPr>
          <w:sz w:val="26"/>
          <w:szCs w:val="26"/>
          <w:rtl/>
        </w:rPr>
        <w:t xml:space="preserve"> לחוק, ועל כן ניתן להגיש תובענה ייצוגית בגין פגיעה בפרטיות רק כאשר היא נעשית במסגרת אחת ממערכות </w:t>
      </w:r>
      <w:r w:rsidR="00AF7FEF" w:rsidRPr="0082273B">
        <w:rPr>
          <w:sz w:val="26"/>
          <w:szCs w:val="26"/>
          <w:rtl/>
        </w:rPr>
        <w:t>היחסי</w:t>
      </w:r>
      <w:r w:rsidR="00AF7FEF">
        <w:rPr>
          <w:rFonts w:hint="cs"/>
          <w:sz w:val="26"/>
          <w:szCs w:val="26"/>
          <w:rtl/>
        </w:rPr>
        <w:t>ם</w:t>
      </w:r>
      <w:r w:rsidR="00AF7FEF" w:rsidRPr="0082273B">
        <w:rPr>
          <w:sz w:val="26"/>
          <w:szCs w:val="26"/>
          <w:rtl/>
        </w:rPr>
        <w:t xml:space="preserve"> </w:t>
      </w:r>
      <w:r w:rsidRPr="0082273B">
        <w:rPr>
          <w:sz w:val="26"/>
          <w:szCs w:val="26"/>
          <w:rtl/>
        </w:rPr>
        <w:t xml:space="preserve">שבתוספת </w:t>
      </w:r>
      <w:proofErr w:type="spellStart"/>
      <w:r w:rsidRPr="0082273B">
        <w:rPr>
          <w:sz w:val="26"/>
          <w:szCs w:val="26"/>
          <w:rtl/>
        </w:rPr>
        <w:t>השניה</w:t>
      </w:r>
      <w:proofErr w:type="spellEnd"/>
      <w:r w:rsidR="00AF7FEF">
        <w:rPr>
          <w:rFonts w:hint="cs"/>
          <w:sz w:val="26"/>
          <w:szCs w:val="26"/>
          <w:rtl/>
        </w:rPr>
        <w:t>, לדוגמה עוסק וצרכן</w:t>
      </w:r>
      <w:r w:rsidRPr="0082273B">
        <w:rPr>
          <w:sz w:val="26"/>
          <w:szCs w:val="26"/>
          <w:rtl/>
        </w:rPr>
        <w:t>. עם זאת, לא כל תובענה בגין פגיעה בפרטיות נכנסת לאחת ממערכות היחסים האלו וכיום במקרים אלו, לא ניתן להגיש את התביעה כתובענה ייצוגית (ראו למשל בעניין ע"א 4110/18 פלונית נ' קדימה מדע-חינוך לחיים בע"מ (</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Pr="0082273B">
        <w:rPr>
          <w:sz w:val="26"/>
          <w:szCs w:val="26"/>
          <w:rtl/>
        </w:rPr>
        <w:t xml:space="preserve"> 7.11.2019)).</w:t>
      </w:r>
    </w:p>
    <w:p w14:paraId="1F37B13F" w14:textId="35051029" w:rsidR="007E3CE9" w:rsidRPr="00545933" w:rsidRDefault="007E3CE9" w:rsidP="006B4C3D">
      <w:pPr>
        <w:tabs>
          <w:tab w:val="left" w:pos="1020"/>
        </w:tabs>
        <w:autoSpaceDE w:val="0"/>
        <w:autoSpaceDN w:val="0"/>
        <w:adjustRightInd w:val="0"/>
        <w:snapToGrid w:val="0"/>
        <w:ind w:left="0"/>
        <w:contextualSpacing w:val="0"/>
        <w:textAlignment w:val="center"/>
        <w:rPr>
          <w:sz w:val="26"/>
          <w:szCs w:val="26"/>
          <w:rtl/>
        </w:rPr>
      </w:pPr>
      <w:r w:rsidRPr="0082273B">
        <w:rPr>
          <w:rFonts w:hint="eastAsia"/>
          <w:sz w:val="26"/>
          <w:szCs w:val="26"/>
          <w:rtl/>
        </w:rPr>
        <w:t>החשיבות</w:t>
      </w:r>
      <w:r w:rsidRPr="0082273B">
        <w:rPr>
          <w:sz w:val="26"/>
          <w:szCs w:val="26"/>
          <w:rtl/>
        </w:rPr>
        <w:t xml:space="preserve"> הרבה במתן אפשרות להגשת תובענות ייצוגיות בגין פגיעה בפרטיות שאינן נכנסות לאחת ממערכות היחסים שבתוספת </w:t>
      </w:r>
      <w:proofErr w:type="spellStart"/>
      <w:r w:rsidRPr="0082273B">
        <w:rPr>
          <w:rFonts w:hint="eastAsia"/>
          <w:sz w:val="26"/>
          <w:szCs w:val="26"/>
          <w:rtl/>
        </w:rPr>
        <w:t>השניה</w:t>
      </w:r>
      <w:proofErr w:type="spellEnd"/>
      <w:r w:rsidRPr="0082273B">
        <w:rPr>
          <w:sz w:val="26"/>
          <w:szCs w:val="26"/>
          <w:rtl/>
        </w:rPr>
        <w:t xml:space="preserve"> עולה בעידן הדיגיטלי שבו המידע האישי הפך מטבע הופך לסוחר וערכו הכלכלי עולה. משכך, גורמים רבים מחזיקים מידע על פרטים גם כאשר אין בין הצדדים מערכת יחסים חוזית, ולו למשל כשמידע נמכר לגוף מסחרי אחר או שמקורו של המידע בפגיעה בפרטיות שלא כדין. </w:t>
      </w:r>
      <w:r w:rsidRPr="0082273B">
        <w:rPr>
          <w:rFonts w:hint="eastAsia"/>
          <w:sz w:val="26"/>
          <w:szCs w:val="26"/>
          <w:rtl/>
        </w:rPr>
        <w:t>על</w:t>
      </w:r>
      <w:r w:rsidRPr="0082273B">
        <w:rPr>
          <w:sz w:val="26"/>
          <w:szCs w:val="26"/>
          <w:rtl/>
        </w:rPr>
        <w:t xml:space="preserve"> כן, נראה כי רבות מהפגיעות בפרטיות תואמות את ההיגיון </w:t>
      </w:r>
      <w:r w:rsidR="00AF7FEF">
        <w:rPr>
          <w:rFonts w:hint="cs"/>
          <w:sz w:val="26"/>
          <w:szCs w:val="26"/>
          <w:rtl/>
        </w:rPr>
        <w:t xml:space="preserve">הבסיסי </w:t>
      </w:r>
      <w:r w:rsidR="00910776">
        <w:rPr>
          <w:rFonts w:hint="cs"/>
          <w:sz w:val="26"/>
          <w:szCs w:val="26"/>
          <w:rtl/>
        </w:rPr>
        <w:t>שהביא לחקיקת</w:t>
      </w:r>
      <w:r w:rsidRPr="0082273B">
        <w:rPr>
          <w:sz w:val="26"/>
          <w:szCs w:val="26"/>
          <w:rtl/>
        </w:rPr>
        <w:t xml:space="preserve"> חוק תובענות ייצוגיות, בין היתר בשל המאפיינים הבאים: במקרים רבים הנזק הכספי הנפרד לכל נושא מידע (משתמש או לקוח) קטן מהסף המתמרץ אותו לפתוח הליך בעצמו; הרווח בצד ההפרות עשוי להיות משמעותי; לעיתים מזומנות העוולות מבוצעות כלפי קבוצה גדולה של נושאי מידע; רבות מן ההפרות מבוצעות בידי תאגידי ענק, ודאי אלה המספקים את השירותים הפופולאריים שבהם משתמש הציבור. במקרים אלו, פערי הכוחות בינם לבין נושאי המידע משמעותיים והפרקטיקה </w:t>
      </w:r>
      <w:r w:rsidRPr="00545933">
        <w:rPr>
          <w:sz w:val="26"/>
          <w:szCs w:val="26"/>
          <w:rtl/>
        </w:rPr>
        <w:t xml:space="preserve">של שימוש במידע אישי נפוצה ובעלת היקפי סיכון משמעותיים, בין השאר בכל הנוגע לאחזקת מאגרי מידע. </w:t>
      </w:r>
    </w:p>
    <w:p w14:paraId="36977CC1" w14:textId="7F4DB995" w:rsidR="007E3CE9" w:rsidRPr="0082273B" w:rsidRDefault="007E3CE9" w:rsidP="006B4C3D">
      <w:pPr>
        <w:tabs>
          <w:tab w:val="left" w:pos="1020"/>
        </w:tabs>
        <w:autoSpaceDE w:val="0"/>
        <w:autoSpaceDN w:val="0"/>
        <w:adjustRightInd w:val="0"/>
        <w:snapToGrid w:val="0"/>
        <w:ind w:left="0"/>
        <w:contextualSpacing w:val="0"/>
        <w:textAlignment w:val="center"/>
        <w:rPr>
          <w:sz w:val="26"/>
          <w:szCs w:val="26"/>
          <w:rtl/>
        </w:rPr>
      </w:pPr>
      <w:r w:rsidRPr="00545933">
        <w:rPr>
          <w:rFonts w:hint="eastAsia"/>
          <w:sz w:val="26"/>
          <w:szCs w:val="26"/>
          <w:rtl/>
        </w:rPr>
        <w:t>עם</w:t>
      </w:r>
      <w:r w:rsidRPr="00545933">
        <w:rPr>
          <w:sz w:val="26"/>
          <w:szCs w:val="26"/>
          <w:rtl/>
        </w:rPr>
        <w:t xml:space="preserve"> זאת, בהתאם להמלצת דו"ח הצוות הבין-משרדי ולאור החשש כי הוספת פרט זה עלולה להחריף את </w:t>
      </w:r>
      <w:r w:rsidRPr="00545933">
        <w:rPr>
          <w:sz w:val="26"/>
          <w:szCs w:val="26"/>
          <w:rtl/>
        </w:rPr>
        <w:lastRenderedPageBreak/>
        <w:t>בעיית תביעות הסרק</w:t>
      </w:r>
      <w:r w:rsidR="00910776" w:rsidRPr="00545933">
        <w:rPr>
          <w:rFonts w:hint="cs"/>
          <w:sz w:val="26"/>
          <w:szCs w:val="26"/>
          <w:rtl/>
        </w:rPr>
        <w:t xml:space="preserve"> או תביעות קלות ערך</w:t>
      </w:r>
      <w:r w:rsidRPr="00545933">
        <w:rPr>
          <w:sz w:val="26"/>
          <w:szCs w:val="26"/>
          <w:rtl/>
        </w:rPr>
        <w:t xml:space="preserve">, הוחלט לייחד את פרט </w:t>
      </w:r>
      <w:r w:rsidR="007B6652" w:rsidRPr="00545933">
        <w:rPr>
          <w:sz w:val="26"/>
          <w:szCs w:val="26"/>
          <w:rtl/>
        </w:rPr>
        <w:t xml:space="preserve">18 </w:t>
      </w:r>
      <w:r w:rsidRPr="00545933">
        <w:rPr>
          <w:sz w:val="26"/>
          <w:szCs w:val="26"/>
          <w:rtl/>
        </w:rPr>
        <w:t>להפרות החמורות יותר של חוק הגנת הפרטיות ותקנות הגנת הפרטיות (אבטחת מידע).</w:t>
      </w:r>
      <w:r w:rsidRPr="0082273B">
        <w:rPr>
          <w:sz w:val="26"/>
          <w:szCs w:val="26"/>
          <w:rtl/>
        </w:rPr>
        <w:t xml:space="preserve"> </w:t>
      </w:r>
    </w:p>
    <w:p w14:paraId="6C99BACC" w14:textId="02877CEA" w:rsidR="007E3CE9" w:rsidRDefault="007E3CE9" w:rsidP="006B4C3D">
      <w:pPr>
        <w:tabs>
          <w:tab w:val="left" w:pos="1020"/>
        </w:tabs>
        <w:autoSpaceDE w:val="0"/>
        <w:autoSpaceDN w:val="0"/>
        <w:adjustRightInd w:val="0"/>
        <w:snapToGrid w:val="0"/>
        <w:ind w:left="0"/>
        <w:contextualSpacing w:val="0"/>
        <w:textAlignment w:val="center"/>
        <w:rPr>
          <w:sz w:val="26"/>
          <w:szCs w:val="26"/>
          <w:rtl/>
        </w:rPr>
      </w:pPr>
      <w:r w:rsidRPr="0082273B">
        <w:rPr>
          <w:rFonts w:hint="eastAsia"/>
          <w:sz w:val="26"/>
          <w:szCs w:val="26"/>
          <w:rtl/>
        </w:rPr>
        <w:t>בנוסף</w:t>
      </w:r>
      <w:r w:rsidRPr="0082273B">
        <w:rPr>
          <w:sz w:val="26"/>
          <w:szCs w:val="26"/>
          <w:rtl/>
        </w:rPr>
        <w:t xml:space="preserve">, </w:t>
      </w:r>
      <w:r w:rsidRPr="0082273B">
        <w:rPr>
          <w:rFonts w:hint="eastAsia"/>
          <w:sz w:val="26"/>
          <w:szCs w:val="26"/>
          <w:rtl/>
        </w:rPr>
        <w:t>מוצע</w:t>
      </w:r>
      <w:r w:rsidRPr="0082273B">
        <w:rPr>
          <w:sz w:val="26"/>
          <w:szCs w:val="26"/>
          <w:rtl/>
        </w:rPr>
        <w:t xml:space="preserve"> </w:t>
      </w:r>
      <w:r w:rsidRPr="0082273B">
        <w:rPr>
          <w:rFonts w:hint="eastAsia"/>
          <w:sz w:val="26"/>
          <w:szCs w:val="26"/>
          <w:rtl/>
        </w:rPr>
        <w:t>כי</w:t>
      </w:r>
      <w:r w:rsidRPr="0082273B">
        <w:rPr>
          <w:sz w:val="26"/>
          <w:szCs w:val="26"/>
          <w:rtl/>
        </w:rPr>
        <w:t xml:space="preserve"> </w:t>
      </w:r>
      <w:r w:rsidRPr="0082273B">
        <w:rPr>
          <w:rFonts w:hint="eastAsia"/>
          <w:sz w:val="26"/>
          <w:szCs w:val="26"/>
          <w:rtl/>
        </w:rPr>
        <w:t>בתובענות</w:t>
      </w:r>
      <w:r w:rsidRPr="0082273B">
        <w:rPr>
          <w:sz w:val="26"/>
          <w:szCs w:val="26"/>
          <w:rtl/>
        </w:rPr>
        <w:t xml:space="preserve"> </w:t>
      </w:r>
      <w:r w:rsidRPr="0082273B">
        <w:rPr>
          <w:rFonts w:hint="eastAsia"/>
          <w:sz w:val="26"/>
          <w:szCs w:val="26"/>
          <w:rtl/>
        </w:rPr>
        <w:t>ייצוגיות</w:t>
      </w:r>
      <w:r w:rsidRPr="0082273B">
        <w:rPr>
          <w:sz w:val="26"/>
          <w:szCs w:val="26"/>
          <w:rtl/>
        </w:rPr>
        <w:t xml:space="preserve"> </w:t>
      </w:r>
      <w:r w:rsidRPr="0082273B">
        <w:rPr>
          <w:rFonts w:hint="eastAsia"/>
          <w:sz w:val="26"/>
          <w:szCs w:val="26"/>
          <w:rtl/>
        </w:rPr>
        <w:t>בעילה</w:t>
      </w:r>
      <w:r w:rsidRPr="0082273B">
        <w:rPr>
          <w:sz w:val="26"/>
          <w:szCs w:val="26"/>
          <w:rtl/>
        </w:rPr>
        <w:t xml:space="preserve"> </w:t>
      </w:r>
      <w:r w:rsidRPr="0082273B">
        <w:rPr>
          <w:rFonts w:hint="eastAsia"/>
          <w:sz w:val="26"/>
          <w:szCs w:val="26"/>
          <w:rtl/>
        </w:rPr>
        <w:t>של</w:t>
      </w:r>
      <w:r w:rsidRPr="0082273B">
        <w:rPr>
          <w:sz w:val="26"/>
          <w:szCs w:val="26"/>
          <w:rtl/>
        </w:rPr>
        <w:t xml:space="preserve"> </w:t>
      </w:r>
      <w:r w:rsidRPr="0082273B">
        <w:rPr>
          <w:rFonts w:hint="eastAsia"/>
          <w:sz w:val="26"/>
          <w:szCs w:val="26"/>
          <w:rtl/>
        </w:rPr>
        <w:t>הפרת</w:t>
      </w:r>
      <w:r w:rsidRPr="0082273B">
        <w:rPr>
          <w:sz w:val="26"/>
          <w:szCs w:val="26"/>
          <w:rtl/>
        </w:rPr>
        <w:t xml:space="preserve"> </w:t>
      </w:r>
      <w:r w:rsidRPr="0082273B">
        <w:rPr>
          <w:rFonts w:hint="eastAsia"/>
          <w:sz w:val="26"/>
          <w:szCs w:val="26"/>
          <w:rtl/>
        </w:rPr>
        <w:t>הוראות</w:t>
      </w:r>
      <w:r w:rsidRPr="0082273B">
        <w:rPr>
          <w:sz w:val="26"/>
          <w:szCs w:val="26"/>
          <w:rtl/>
        </w:rPr>
        <w:t xml:space="preserve"> </w:t>
      </w:r>
      <w:r w:rsidRPr="0082273B">
        <w:rPr>
          <w:rFonts w:hint="eastAsia"/>
          <w:sz w:val="26"/>
          <w:szCs w:val="26"/>
          <w:rtl/>
        </w:rPr>
        <w:t>תקנות</w:t>
      </w:r>
      <w:r w:rsidRPr="0082273B">
        <w:rPr>
          <w:sz w:val="26"/>
          <w:szCs w:val="26"/>
          <w:rtl/>
        </w:rPr>
        <w:t xml:space="preserve"> </w:t>
      </w:r>
      <w:r w:rsidRPr="0082273B">
        <w:rPr>
          <w:rFonts w:hint="eastAsia"/>
          <w:sz w:val="26"/>
          <w:szCs w:val="26"/>
          <w:rtl/>
        </w:rPr>
        <w:t>הגנת</w:t>
      </w:r>
      <w:r w:rsidRPr="0082273B">
        <w:rPr>
          <w:sz w:val="26"/>
          <w:szCs w:val="26"/>
          <w:rtl/>
        </w:rPr>
        <w:t xml:space="preserve"> </w:t>
      </w:r>
      <w:r w:rsidRPr="0082273B">
        <w:rPr>
          <w:rFonts w:hint="eastAsia"/>
          <w:sz w:val="26"/>
          <w:szCs w:val="26"/>
          <w:rtl/>
        </w:rPr>
        <w:t>הפרטיות</w:t>
      </w:r>
      <w:r w:rsidRPr="0082273B">
        <w:rPr>
          <w:sz w:val="26"/>
          <w:szCs w:val="26"/>
          <w:rtl/>
        </w:rPr>
        <w:t xml:space="preserve"> (אבטחת </w:t>
      </w:r>
      <w:r w:rsidRPr="0082273B">
        <w:rPr>
          <w:rFonts w:hint="eastAsia"/>
          <w:sz w:val="26"/>
          <w:szCs w:val="26"/>
          <w:rtl/>
        </w:rPr>
        <w:t>מידע</w:t>
      </w:r>
      <w:r w:rsidRPr="0082273B">
        <w:rPr>
          <w:sz w:val="26"/>
          <w:szCs w:val="26"/>
          <w:rtl/>
        </w:rPr>
        <w:t xml:space="preserve">) </w:t>
      </w:r>
      <w:r w:rsidRPr="0082273B">
        <w:rPr>
          <w:rFonts w:hint="eastAsia"/>
          <w:sz w:val="26"/>
          <w:szCs w:val="26"/>
          <w:rtl/>
        </w:rPr>
        <w:t>שיוגשו</w:t>
      </w:r>
      <w:r w:rsidRPr="0082273B">
        <w:rPr>
          <w:sz w:val="26"/>
          <w:szCs w:val="26"/>
          <w:rtl/>
        </w:rPr>
        <w:t xml:space="preserve"> </w:t>
      </w:r>
      <w:r w:rsidRPr="0082273B">
        <w:rPr>
          <w:rFonts w:hint="eastAsia"/>
          <w:sz w:val="26"/>
          <w:szCs w:val="26"/>
          <w:rtl/>
        </w:rPr>
        <w:t>כנגד</w:t>
      </w:r>
      <w:r w:rsidRPr="0082273B">
        <w:rPr>
          <w:sz w:val="26"/>
          <w:szCs w:val="26"/>
          <w:rtl/>
        </w:rPr>
        <w:t xml:space="preserve"> </w:t>
      </w:r>
      <w:r w:rsidRPr="0082273B">
        <w:rPr>
          <w:rFonts w:hint="eastAsia"/>
          <w:sz w:val="26"/>
          <w:szCs w:val="26"/>
          <w:rtl/>
        </w:rPr>
        <w:t>גוף</w:t>
      </w:r>
      <w:r w:rsidRPr="0082273B">
        <w:rPr>
          <w:sz w:val="26"/>
          <w:szCs w:val="26"/>
          <w:rtl/>
        </w:rPr>
        <w:t xml:space="preserve"> </w:t>
      </w:r>
      <w:r w:rsidRPr="0082273B">
        <w:rPr>
          <w:rFonts w:hint="eastAsia"/>
          <w:sz w:val="26"/>
          <w:szCs w:val="26"/>
          <w:rtl/>
        </w:rPr>
        <w:t>ציבורי</w:t>
      </w:r>
      <w:r w:rsidRPr="0082273B">
        <w:rPr>
          <w:sz w:val="26"/>
          <w:szCs w:val="26"/>
          <w:rtl/>
        </w:rPr>
        <w:t xml:space="preserve">, </w:t>
      </w:r>
      <w:r w:rsidRPr="0082273B">
        <w:rPr>
          <w:rFonts w:hint="eastAsia"/>
          <w:sz w:val="26"/>
          <w:szCs w:val="26"/>
          <w:rtl/>
        </w:rPr>
        <w:t>כהגדרתו</w:t>
      </w:r>
      <w:r w:rsidRPr="0082273B">
        <w:rPr>
          <w:sz w:val="26"/>
          <w:szCs w:val="26"/>
          <w:rtl/>
        </w:rPr>
        <w:t xml:space="preserve"> </w:t>
      </w:r>
      <w:r w:rsidRPr="0082273B">
        <w:rPr>
          <w:rFonts w:hint="eastAsia"/>
          <w:sz w:val="26"/>
          <w:szCs w:val="26"/>
          <w:rtl/>
        </w:rPr>
        <w:t>בסעיף</w:t>
      </w:r>
      <w:r w:rsidRPr="0082273B">
        <w:rPr>
          <w:sz w:val="26"/>
          <w:szCs w:val="26"/>
          <w:rtl/>
        </w:rPr>
        <w:t xml:space="preserve"> 23 </w:t>
      </w:r>
      <w:r w:rsidRPr="0082273B">
        <w:rPr>
          <w:rFonts w:hint="eastAsia"/>
          <w:sz w:val="26"/>
          <w:szCs w:val="26"/>
          <w:rtl/>
        </w:rPr>
        <w:t>לחוק</w:t>
      </w:r>
      <w:r w:rsidRPr="0082273B">
        <w:rPr>
          <w:sz w:val="26"/>
          <w:szCs w:val="26"/>
          <w:rtl/>
        </w:rPr>
        <w:t xml:space="preserve"> </w:t>
      </w:r>
      <w:r w:rsidRPr="0082273B">
        <w:rPr>
          <w:rFonts w:hint="eastAsia"/>
          <w:sz w:val="26"/>
          <w:szCs w:val="26"/>
          <w:rtl/>
        </w:rPr>
        <w:t>הגנת</w:t>
      </w:r>
      <w:r w:rsidRPr="0082273B">
        <w:rPr>
          <w:sz w:val="26"/>
          <w:szCs w:val="26"/>
          <w:rtl/>
        </w:rPr>
        <w:t xml:space="preserve"> </w:t>
      </w:r>
      <w:r w:rsidRPr="0082273B">
        <w:rPr>
          <w:rFonts w:hint="eastAsia"/>
          <w:sz w:val="26"/>
          <w:szCs w:val="26"/>
          <w:rtl/>
        </w:rPr>
        <w:t>הפרטיות</w:t>
      </w:r>
      <w:r w:rsidRPr="0082273B">
        <w:rPr>
          <w:sz w:val="26"/>
          <w:szCs w:val="26"/>
          <w:rtl/>
        </w:rPr>
        <w:t xml:space="preserve">, </w:t>
      </w:r>
      <w:r w:rsidRPr="0082273B">
        <w:rPr>
          <w:rFonts w:hint="eastAsia"/>
          <w:sz w:val="26"/>
          <w:szCs w:val="26"/>
          <w:rtl/>
        </w:rPr>
        <w:t>תוענק</w:t>
      </w:r>
      <w:r w:rsidRPr="0082273B">
        <w:rPr>
          <w:sz w:val="26"/>
          <w:szCs w:val="26"/>
          <w:rtl/>
        </w:rPr>
        <w:t xml:space="preserve"> </w:t>
      </w:r>
      <w:r w:rsidRPr="0082273B">
        <w:rPr>
          <w:rFonts w:hint="eastAsia"/>
          <w:sz w:val="26"/>
          <w:szCs w:val="26"/>
          <w:rtl/>
        </w:rPr>
        <w:t>לגוף</w:t>
      </w:r>
      <w:r w:rsidRPr="0082273B">
        <w:rPr>
          <w:sz w:val="26"/>
          <w:szCs w:val="26"/>
          <w:rtl/>
        </w:rPr>
        <w:t xml:space="preserve"> </w:t>
      </w:r>
      <w:r w:rsidRPr="0082273B">
        <w:rPr>
          <w:rFonts w:hint="eastAsia"/>
          <w:sz w:val="26"/>
          <w:szCs w:val="26"/>
          <w:rtl/>
        </w:rPr>
        <w:t>הציבורי</w:t>
      </w:r>
      <w:r w:rsidRPr="0082273B">
        <w:rPr>
          <w:sz w:val="26"/>
          <w:szCs w:val="26"/>
          <w:rtl/>
        </w:rPr>
        <w:t xml:space="preserve"> </w:t>
      </w:r>
      <w:r w:rsidRPr="0082273B">
        <w:rPr>
          <w:rFonts w:hint="eastAsia"/>
          <w:sz w:val="26"/>
          <w:szCs w:val="26"/>
          <w:rtl/>
        </w:rPr>
        <w:t>הגנה</w:t>
      </w:r>
      <w:r w:rsidRPr="0082273B">
        <w:rPr>
          <w:sz w:val="26"/>
          <w:szCs w:val="26"/>
          <w:rtl/>
        </w:rPr>
        <w:t xml:space="preserve"> </w:t>
      </w:r>
      <w:r w:rsidRPr="0082273B">
        <w:rPr>
          <w:rFonts w:hint="eastAsia"/>
          <w:sz w:val="26"/>
          <w:szCs w:val="26"/>
          <w:rtl/>
        </w:rPr>
        <w:t>במקרים</w:t>
      </w:r>
      <w:r w:rsidRPr="0082273B">
        <w:rPr>
          <w:sz w:val="26"/>
          <w:szCs w:val="26"/>
          <w:rtl/>
        </w:rPr>
        <w:t xml:space="preserve"> </w:t>
      </w:r>
      <w:r w:rsidRPr="0082273B">
        <w:rPr>
          <w:rFonts w:hint="eastAsia"/>
          <w:sz w:val="26"/>
          <w:szCs w:val="26"/>
          <w:rtl/>
        </w:rPr>
        <w:t>שבהם</w:t>
      </w:r>
      <w:r w:rsidRPr="0082273B">
        <w:rPr>
          <w:sz w:val="26"/>
          <w:szCs w:val="26"/>
          <w:rtl/>
        </w:rPr>
        <w:t xml:space="preserve"> </w:t>
      </w:r>
      <w:r w:rsidRPr="0082273B">
        <w:rPr>
          <w:rFonts w:hint="eastAsia"/>
          <w:sz w:val="26"/>
          <w:szCs w:val="26"/>
          <w:rtl/>
        </w:rPr>
        <w:t>יוכח</w:t>
      </w:r>
      <w:r w:rsidRPr="0082273B">
        <w:rPr>
          <w:sz w:val="26"/>
          <w:szCs w:val="26"/>
          <w:rtl/>
        </w:rPr>
        <w:t xml:space="preserve"> </w:t>
      </w:r>
      <w:r w:rsidRPr="0082273B">
        <w:rPr>
          <w:rFonts w:hint="eastAsia"/>
          <w:sz w:val="26"/>
          <w:szCs w:val="26"/>
          <w:rtl/>
        </w:rPr>
        <w:t>כי</w:t>
      </w:r>
      <w:r w:rsidRPr="0082273B">
        <w:rPr>
          <w:sz w:val="26"/>
          <w:szCs w:val="26"/>
          <w:rtl/>
        </w:rPr>
        <w:t xml:space="preserve"> </w:t>
      </w:r>
      <w:r w:rsidRPr="0082273B">
        <w:rPr>
          <w:rFonts w:hint="eastAsia"/>
          <w:sz w:val="26"/>
          <w:szCs w:val="26"/>
          <w:rtl/>
        </w:rPr>
        <w:t>תוקנה</w:t>
      </w:r>
      <w:r w:rsidRPr="0082273B">
        <w:rPr>
          <w:sz w:val="26"/>
          <w:szCs w:val="26"/>
          <w:rtl/>
        </w:rPr>
        <w:t xml:space="preserve"> </w:t>
      </w:r>
      <w:r w:rsidRPr="0082273B">
        <w:rPr>
          <w:rFonts w:hint="eastAsia"/>
          <w:sz w:val="26"/>
          <w:szCs w:val="26"/>
          <w:rtl/>
        </w:rPr>
        <w:t>ההפרה</w:t>
      </w:r>
      <w:r w:rsidRPr="0082273B">
        <w:rPr>
          <w:sz w:val="26"/>
          <w:szCs w:val="26"/>
          <w:rtl/>
        </w:rPr>
        <w:t xml:space="preserve"> </w:t>
      </w:r>
      <w:r w:rsidRPr="0082273B">
        <w:rPr>
          <w:rFonts w:hint="eastAsia"/>
          <w:sz w:val="26"/>
          <w:szCs w:val="26"/>
          <w:rtl/>
        </w:rPr>
        <w:t>עד</w:t>
      </w:r>
      <w:r w:rsidRPr="0082273B">
        <w:rPr>
          <w:sz w:val="26"/>
          <w:szCs w:val="26"/>
          <w:rtl/>
        </w:rPr>
        <w:t xml:space="preserve"> </w:t>
      </w:r>
      <w:r w:rsidRPr="0082273B">
        <w:rPr>
          <w:rFonts w:hint="eastAsia"/>
          <w:sz w:val="26"/>
          <w:szCs w:val="26"/>
          <w:rtl/>
        </w:rPr>
        <w:t>למועד</w:t>
      </w:r>
      <w:r w:rsidRPr="0082273B">
        <w:rPr>
          <w:sz w:val="26"/>
          <w:szCs w:val="26"/>
          <w:rtl/>
        </w:rPr>
        <w:t xml:space="preserve"> </w:t>
      </w:r>
      <w:r w:rsidRPr="0082273B">
        <w:rPr>
          <w:rFonts w:hint="eastAsia"/>
          <w:sz w:val="26"/>
          <w:szCs w:val="26"/>
          <w:rtl/>
        </w:rPr>
        <w:t>של</w:t>
      </w:r>
      <w:r w:rsidRPr="0082273B">
        <w:rPr>
          <w:sz w:val="26"/>
          <w:szCs w:val="26"/>
          <w:rtl/>
        </w:rPr>
        <w:t xml:space="preserve"> 120 </w:t>
      </w:r>
      <w:r w:rsidRPr="0082273B">
        <w:rPr>
          <w:rFonts w:hint="eastAsia"/>
          <w:sz w:val="26"/>
          <w:szCs w:val="26"/>
          <w:rtl/>
        </w:rPr>
        <w:t>ימים</w:t>
      </w:r>
      <w:r w:rsidRPr="0082273B">
        <w:rPr>
          <w:sz w:val="26"/>
          <w:szCs w:val="26"/>
          <w:rtl/>
        </w:rPr>
        <w:t xml:space="preserve"> </w:t>
      </w:r>
      <w:r w:rsidRPr="0082273B">
        <w:rPr>
          <w:rFonts w:hint="eastAsia"/>
          <w:sz w:val="26"/>
          <w:szCs w:val="26"/>
          <w:rtl/>
        </w:rPr>
        <w:t>מהמועד</w:t>
      </w:r>
      <w:r w:rsidRPr="0082273B">
        <w:rPr>
          <w:sz w:val="26"/>
          <w:szCs w:val="26"/>
          <w:rtl/>
        </w:rPr>
        <w:t xml:space="preserve"> </w:t>
      </w:r>
      <w:r w:rsidRPr="0082273B">
        <w:rPr>
          <w:rFonts w:hint="eastAsia"/>
          <w:sz w:val="26"/>
          <w:szCs w:val="26"/>
          <w:rtl/>
        </w:rPr>
        <w:t>שהו</w:t>
      </w:r>
      <w:r w:rsidR="004551A7" w:rsidRPr="0082273B">
        <w:rPr>
          <w:rFonts w:hint="eastAsia"/>
          <w:sz w:val="26"/>
          <w:szCs w:val="26"/>
          <w:rtl/>
        </w:rPr>
        <w:t>מצאה</w:t>
      </w:r>
      <w:r w:rsidRPr="0082273B">
        <w:rPr>
          <w:sz w:val="26"/>
          <w:szCs w:val="26"/>
          <w:rtl/>
        </w:rPr>
        <w:t xml:space="preserve"> הבקשה לאישור (או ממועד מאוחר יותר שיקבע בית המשפט). הטעם להוראות אלה נעוץ באופי הציבורי של הגוף וברצון לעודד הגשת תובענה ייצוגית בעילה זו, תוך שמירה על התקציב הציבורי והתמקדות בתיקון ההפרה כלפי העתיד</w:t>
      </w:r>
      <w:r w:rsidR="00910776">
        <w:rPr>
          <w:rFonts w:hint="cs"/>
          <w:sz w:val="26"/>
          <w:szCs w:val="26"/>
          <w:rtl/>
        </w:rPr>
        <w:t xml:space="preserve">, ובדומה להוראת החדילה הקבועה בסעיף </w:t>
      </w:r>
      <w:r w:rsidR="00EC0312">
        <w:rPr>
          <w:rFonts w:hint="cs"/>
          <w:sz w:val="26"/>
          <w:szCs w:val="26"/>
          <w:rtl/>
        </w:rPr>
        <w:t>9 לחוק</w:t>
      </w:r>
      <w:r w:rsidRPr="0082273B">
        <w:rPr>
          <w:sz w:val="26"/>
          <w:szCs w:val="26"/>
          <w:rtl/>
        </w:rPr>
        <w:t>.</w:t>
      </w:r>
    </w:p>
    <w:p w14:paraId="039C1DC2" w14:textId="77777777" w:rsidR="007B6652" w:rsidRPr="0082273B" w:rsidRDefault="007B6652" w:rsidP="006B4C3D">
      <w:pPr>
        <w:tabs>
          <w:tab w:val="left" w:pos="1020"/>
        </w:tabs>
        <w:autoSpaceDE w:val="0"/>
        <w:autoSpaceDN w:val="0"/>
        <w:adjustRightInd w:val="0"/>
        <w:snapToGrid w:val="0"/>
        <w:ind w:left="0"/>
        <w:contextualSpacing w:val="0"/>
        <w:textAlignment w:val="center"/>
        <w:rPr>
          <w:sz w:val="26"/>
          <w:szCs w:val="26"/>
          <w:rtl/>
        </w:rPr>
      </w:pPr>
    </w:p>
    <w:p w14:paraId="25513761" w14:textId="5B556F76" w:rsidR="00C70BD1" w:rsidRPr="00C70BD1" w:rsidRDefault="00C70BD1" w:rsidP="006B4C3D">
      <w:pPr>
        <w:tabs>
          <w:tab w:val="left" w:pos="1020"/>
        </w:tabs>
        <w:autoSpaceDE w:val="0"/>
        <w:autoSpaceDN w:val="0"/>
        <w:adjustRightInd w:val="0"/>
        <w:snapToGrid w:val="0"/>
        <w:ind w:left="0"/>
        <w:contextualSpacing w:val="0"/>
        <w:textAlignment w:val="center"/>
        <w:rPr>
          <w:b/>
          <w:bCs/>
          <w:sz w:val="26"/>
          <w:szCs w:val="26"/>
          <w:rtl/>
        </w:rPr>
      </w:pPr>
      <w:r w:rsidRPr="00C70BD1">
        <w:rPr>
          <w:rFonts w:hint="cs"/>
          <w:b/>
          <w:bCs/>
          <w:sz w:val="26"/>
          <w:szCs w:val="26"/>
          <w:rtl/>
        </w:rPr>
        <w:t xml:space="preserve">סעיף </w:t>
      </w:r>
      <w:r w:rsidR="007B6652" w:rsidRPr="00C70BD1">
        <w:rPr>
          <w:rFonts w:hint="cs"/>
          <w:b/>
          <w:bCs/>
          <w:sz w:val="26"/>
          <w:szCs w:val="26"/>
          <w:rtl/>
        </w:rPr>
        <w:t>1</w:t>
      </w:r>
      <w:r w:rsidR="007B6652">
        <w:rPr>
          <w:rFonts w:hint="cs"/>
          <w:b/>
          <w:bCs/>
          <w:sz w:val="26"/>
          <w:szCs w:val="26"/>
          <w:rtl/>
        </w:rPr>
        <w:t>2</w:t>
      </w:r>
    </w:p>
    <w:p w14:paraId="24C0DC75" w14:textId="5096D571" w:rsidR="00C70BD1" w:rsidRPr="00C70BD1" w:rsidRDefault="00CA2DA6" w:rsidP="006B4C3D">
      <w:pPr>
        <w:tabs>
          <w:tab w:val="left" w:pos="1020"/>
        </w:tabs>
        <w:autoSpaceDE w:val="0"/>
        <w:autoSpaceDN w:val="0"/>
        <w:adjustRightInd w:val="0"/>
        <w:snapToGrid w:val="0"/>
        <w:ind w:left="0"/>
        <w:contextualSpacing w:val="0"/>
        <w:textAlignment w:val="center"/>
        <w:rPr>
          <w:b/>
          <w:bCs/>
          <w:sz w:val="26"/>
          <w:szCs w:val="26"/>
          <w:rtl/>
        </w:rPr>
      </w:pPr>
      <w:r>
        <w:rPr>
          <w:rFonts w:hint="cs"/>
          <w:b/>
          <w:bCs/>
          <w:sz w:val="26"/>
          <w:szCs w:val="26"/>
          <w:rtl/>
        </w:rPr>
        <w:t>לפסקה</w:t>
      </w:r>
      <w:r w:rsidR="00C70BD1" w:rsidRPr="00C70BD1">
        <w:rPr>
          <w:rFonts w:hint="cs"/>
          <w:b/>
          <w:bCs/>
          <w:sz w:val="26"/>
          <w:szCs w:val="26"/>
          <w:rtl/>
        </w:rPr>
        <w:t xml:space="preserve"> (1)</w:t>
      </w:r>
    </w:p>
    <w:p w14:paraId="15D64714" w14:textId="1A4EC9C9"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מוצע לקבוע כי במקרים שבהם גובש הסדר הפשרה במסגרת הליך גישור שבו </w:t>
      </w:r>
      <w:r w:rsidR="00910776" w:rsidRPr="00C70BD1">
        <w:rPr>
          <w:rFonts w:hint="cs"/>
          <w:sz w:val="26"/>
          <w:szCs w:val="26"/>
          <w:rtl/>
        </w:rPr>
        <w:t>נחש</w:t>
      </w:r>
      <w:r w:rsidR="00910776">
        <w:rPr>
          <w:rFonts w:hint="cs"/>
          <w:sz w:val="26"/>
          <w:szCs w:val="26"/>
          <w:rtl/>
        </w:rPr>
        <w:t>פו</w:t>
      </w:r>
      <w:r w:rsidR="00910776" w:rsidRPr="00C70BD1">
        <w:rPr>
          <w:rFonts w:hint="cs"/>
          <w:sz w:val="26"/>
          <w:szCs w:val="26"/>
          <w:rtl/>
        </w:rPr>
        <w:t xml:space="preserve"> </w:t>
      </w:r>
      <w:r w:rsidRPr="00C70BD1">
        <w:rPr>
          <w:rFonts w:hint="cs"/>
          <w:sz w:val="26"/>
          <w:szCs w:val="26"/>
          <w:rtl/>
        </w:rPr>
        <w:t>המגשר והצדדים לנתונים אשר שימשו בסיס להסדר הפשרה, יצרפו הצדדים מכתב מן המגשר שיכלול התייחסות לנתונים אלו.</w:t>
      </w:r>
    </w:p>
    <w:p w14:paraId="19F587E2" w14:textId="091C2877" w:rsidR="000B1E5A" w:rsidRDefault="00C70BD1" w:rsidP="006B4C3D">
      <w:pPr>
        <w:tabs>
          <w:tab w:val="left" w:pos="1020"/>
        </w:tabs>
        <w:autoSpaceDE w:val="0"/>
        <w:autoSpaceDN w:val="0"/>
        <w:adjustRightInd w:val="0"/>
        <w:snapToGrid w:val="0"/>
        <w:ind w:left="0"/>
        <w:contextualSpacing w:val="0"/>
        <w:textAlignment w:val="center"/>
        <w:rPr>
          <w:sz w:val="26"/>
          <w:szCs w:val="26"/>
          <w:rtl/>
        </w:rPr>
      </w:pPr>
      <w:r w:rsidRPr="006B4C3D">
        <w:rPr>
          <w:sz w:val="26"/>
          <w:szCs w:val="26"/>
          <w:rtl/>
        </w:rPr>
        <w:t xml:space="preserve">בשנים האחרונות, הסדרי פשרה רבים בתובענות ייצוגיות מושגים </w:t>
      </w:r>
      <w:r w:rsidR="00910776" w:rsidRPr="006B4C3D">
        <w:rPr>
          <w:sz w:val="26"/>
          <w:szCs w:val="26"/>
          <w:rtl/>
        </w:rPr>
        <w:t>ב</w:t>
      </w:r>
      <w:r w:rsidR="00910776">
        <w:rPr>
          <w:rFonts w:hint="cs"/>
          <w:sz w:val="26"/>
          <w:szCs w:val="26"/>
          <w:rtl/>
        </w:rPr>
        <w:t>עזרת</w:t>
      </w:r>
      <w:r w:rsidR="00910776" w:rsidRPr="006B4C3D">
        <w:rPr>
          <w:sz w:val="26"/>
          <w:szCs w:val="26"/>
          <w:rtl/>
        </w:rPr>
        <w:t xml:space="preserve"> </w:t>
      </w:r>
      <w:r w:rsidRPr="006B4C3D">
        <w:rPr>
          <w:sz w:val="26"/>
          <w:szCs w:val="26"/>
          <w:rtl/>
        </w:rPr>
        <w:t xml:space="preserve">מגשרים. </w:t>
      </w:r>
      <w:r w:rsidRPr="006B4C3D">
        <w:rPr>
          <w:rFonts w:hint="cs"/>
          <w:sz w:val="26"/>
          <w:szCs w:val="26"/>
          <w:rtl/>
        </w:rPr>
        <w:t xml:space="preserve">פסק הדין בעניין </w:t>
      </w:r>
      <w:r w:rsidRPr="00C70BD1">
        <w:rPr>
          <w:rFonts w:hint="cs"/>
          <w:sz w:val="26"/>
          <w:szCs w:val="26"/>
          <w:rtl/>
        </w:rPr>
        <w:t>ת</w:t>
      </w:r>
      <w:r w:rsidRPr="00C70BD1">
        <w:rPr>
          <w:sz w:val="26"/>
          <w:szCs w:val="26"/>
          <w:rtl/>
        </w:rPr>
        <w:t xml:space="preserve">"צ (מחוזי ת"א) 48536-12-17 </w:t>
      </w:r>
      <w:r w:rsidRPr="006B4C3D">
        <w:rPr>
          <w:sz w:val="26"/>
          <w:szCs w:val="26"/>
          <w:rtl/>
        </w:rPr>
        <w:t xml:space="preserve">חורב נ' פועלים </w:t>
      </w:r>
      <w:proofErr w:type="spellStart"/>
      <w:r w:rsidRPr="006B4C3D">
        <w:rPr>
          <w:sz w:val="26"/>
          <w:szCs w:val="26"/>
          <w:rtl/>
        </w:rPr>
        <w:t>אי.בי.אי</w:t>
      </w:r>
      <w:proofErr w:type="spellEnd"/>
      <w:r w:rsidRPr="006B4C3D">
        <w:rPr>
          <w:sz w:val="26"/>
          <w:szCs w:val="26"/>
          <w:rtl/>
        </w:rPr>
        <w:t xml:space="preserve"> – ניהול וחיתום בע"מ ואח'</w:t>
      </w:r>
      <w:r w:rsidRPr="00C70BD1">
        <w:rPr>
          <w:sz w:val="26"/>
          <w:szCs w:val="26"/>
          <w:rtl/>
        </w:rPr>
        <w:t xml:space="preserve"> (</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Pr="00C70BD1">
        <w:rPr>
          <w:sz w:val="26"/>
          <w:szCs w:val="26"/>
          <w:rtl/>
        </w:rPr>
        <w:t xml:space="preserve"> 19.5.2021)</w:t>
      </w:r>
      <w:r w:rsidRPr="006B4C3D">
        <w:rPr>
          <w:rFonts w:hint="cs"/>
          <w:sz w:val="26"/>
          <w:szCs w:val="26"/>
          <w:rtl/>
        </w:rPr>
        <w:t xml:space="preserve">, התווה </w:t>
      </w:r>
      <w:r w:rsidRPr="006B4C3D">
        <w:rPr>
          <w:sz w:val="26"/>
          <w:szCs w:val="26"/>
          <w:rtl/>
        </w:rPr>
        <w:t>מספר שיקולים לבחינת הסדר פשרה שגובש בסיוע מגשר המוגש לאישור בית המשפט. לעניין בעיית הנציג הבאה לידי ביטוי בהסדרי פשרה - לכאורה, קיומו של מגשר עשוי להחליש במעט את החשש מפני ניגוד העניינים המובנה של המבקש שכן המגשר הוא צד שלישי שאמור לסייע לצדדים להגיע להסכמה שהיא ראויה, הוגנת וסבירה עבור הקבוצה.</w:t>
      </w:r>
    </w:p>
    <w:p w14:paraId="5871842F" w14:textId="2054D818"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6B4C3D">
        <w:rPr>
          <w:sz w:val="26"/>
          <w:szCs w:val="26"/>
          <w:rtl/>
        </w:rPr>
        <w:t xml:space="preserve">עם זאת, </w:t>
      </w:r>
      <w:r w:rsidRPr="006B4C3D">
        <w:rPr>
          <w:rFonts w:hint="cs"/>
          <w:sz w:val="26"/>
          <w:szCs w:val="26"/>
          <w:rtl/>
        </w:rPr>
        <w:t>עמד פסק הדין</w:t>
      </w:r>
      <w:r w:rsidRPr="006B4C3D">
        <w:rPr>
          <w:sz w:val="26"/>
          <w:szCs w:val="26"/>
          <w:rtl/>
        </w:rPr>
        <w:t xml:space="preserve"> על כך שגם למגשר יש אינטרס "אישי" שעלול לעמוד בניגוד לאינטרס הקבוצה שכן הוא מעוניין לסייע לצדדים להגיע להסכמה שתחשב להצלחת הליך הגישור. מכאן עולה חשש מאישור הסדרי גישור בקלות רבה יחסית על ידי בתי המשפט</w:t>
      </w:r>
      <w:r w:rsidR="00910776">
        <w:rPr>
          <w:rFonts w:hint="cs"/>
          <w:sz w:val="26"/>
          <w:szCs w:val="26"/>
          <w:rtl/>
        </w:rPr>
        <w:t>,</w:t>
      </w:r>
      <w:r w:rsidRPr="006B4C3D">
        <w:rPr>
          <w:sz w:val="26"/>
          <w:szCs w:val="26"/>
          <w:rtl/>
        </w:rPr>
        <w:t xml:space="preserve"> שעלולים לתמרץ צדדים בהליכים עתידיים לפנות למגשרים שיסייעו להגיע לפשרות נוחות לצדדים הפוגעות בחברי הקבוצה, מתוך הנחה שבתי המשפט יאשרו הסדרים אלו</w:t>
      </w:r>
      <w:r w:rsidR="00910776">
        <w:rPr>
          <w:rFonts w:hint="cs"/>
          <w:sz w:val="26"/>
          <w:szCs w:val="26"/>
          <w:rtl/>
        </w:rPr>
        <w:t>,</w:t>
      </w:r>
      <w:r w:rsidRPr="006B4C3D">
        <w:rPr>
          <w:sz w:val="26"/>
          <w:szCs w:val="26"/>
          <w:rtl/>
        </w:rPr>
        <w:t xml:space="preserve"> </w:t>
      </w:r>
      <w:r w:rsidR="00910776">
        <w:rPr>
          <w:rFonts w:hint="cs"/>
          <w:sz w:val="26"/>
          <w:szCs w:val="26"/>
          <w:rtl/>
        </w:rPr>
        <w:t xml:space="preserve">שהושגו בעזרת הליך גישור, </w:t>
      </w:r>
      <w:r w:rsidRPr="006B4C3D">
        <w:rPr>
          <w:sz w:val="26"/>
          <w:szCs w:val="26"/>
          <w:rtl/>
        </w:rPr>
        <w:t xml:space="preserve">ביתר קלות. על כן, </w:t>
      </w:r>
      <w:r w:rsidRPr="006B4C3D">
        <w:rPr>
          <w:rFonts w:hint="cs"/>
          <w:sz w:val="26"/>
          <w:szCs w:val="26"/>
          <w:rtl/>
        </w:rPr>
        <w:t>נקבע כי יש</w:t>
      </w:r>
      <w:r w:rsidRPr="006B4C3D">
        <w:rPr>
          <w:sz w:val="26"/>
          <w:szCs w:val="26"/>
          <w:rtl/>
        </w:rPr>
        <w:t xml:space="preserve"> להקפיד גם על בחינת הסדרי פשרה שהושגו בגישור באופן מדוקדק ויסודי כדי לוודא שהם ראויים, הוגנים וסבירים עבור חברי הקבוצה. עם זאת, עמד</w:t>
      </w:r>
      <w:r w:rsidRPr="006B4C3D">
        <w:rPr>
          <w:rFonts w:hint="cs"/>
          <w:sz w:val="26"/>
          <w:szCs w:val="26"/>
          <w:rtl/>
        </w:rPr>
        <w:t xml:space="preserve"> בית המשפט </w:t>
      </w:r>
      <w:r w:rsidRPr="006B4C3D">
        <w:rPr>
          <w:sz w:val="26"/>
          <w:szCs w:val="26"/>
          <w:rtl/>
        </w:rPr>
        <w:t xml:space="preserve">על כך שהליך הגישור עשוי גם לסייע לבית המשפט בבחינת </w:t>
      </w:r>
      <w:r w:rsidRPr="00C70BD1">
        <w:rPr>
          <w:sz w:val="26"/>
          <w:szCs w:val="26"/>
          <w:rtl/>
        </w:rPr>
        <w:t>הסדרי</w:t>
      </w:r>
      <w:r w:rsidRPr="006B4C3D" w:rsidDel="00ED656A">
        <w:rPr>
          <w:sz w:val="26"/>
          <w:szCs w:val="26"/>
          <w:rtl/>
        </w:rPr>
        <w:t xml:space="preserve"> </w:t>
      </w:r>
      <w:r w:rsidRPr="006B4C3D">
        <w:rPr>
          <w:sz w:val="26"/>
          <w:szCs w:val="26"/>
          <w:rtl/>
        </w:rPr>
        <w:t xml:space="preserve">פשרה, בעיקר כאשר המגשר ערך עם הצדדים בירורים עובדתיים שבהם עשויה להיות לו עדיפות על בית המשפט, שכן ביכולתו לברר נושאים עובדתיים, להיחשף לנתונים הנחוצים לחישוב סכום הפשרה, לעיין בחומרים השונים ועוד. ככל שתוצרי עבודת המגשר נפרשים בפני בית המשפט, בית המשפט יכול להיעזר בהם לצורך הערכת הסדר הפשרה. על כן, יש חשיבות רבה מאד בכך שהמגשר יבהיר לבית המשפט את תהליך העבודה </w:t>
      </w:r>
      <w:r w:rsidR="00296284">
        <w:rPr>
          <w:rFonts w:hint="cs"/>
          <w:sz w:val="26"/>
          <w:szCs w:val="26"/>
          <w:rtl/>
        </w:rPr>
        <w:t>שהוא ערך,</w:t>
      </w:r>
      <w:r w:rsidR="00296284" w:rsidRPr="006B4C3D">
        <w:rPr>
          <w:sz w:val="26"/>
          <w:szCs w:val="26"/>
          <w:rtl/>
        </w:rPr>
        <w:t xml:space="preserve"> </w:t>
      </w:r>
      <w:r w:rsidRPr="006B4C3D">
        <w:rPr>
          <w:sz w:val="26"/>
          <w:szCs w:val="26"/>
          <w:rtl/>
        </w:rPr>
        <w:t>ויפרט את הטעמים שהביאו אותו להמלצת הפשרה</w:t>
      </w:r>
      <w:r w:rsidR="00296284">
        <w:rPr>
          <w:rFonts w:hint="cs"/>
          <w:sz w:val="26"/>
          <w:szCs w:val="26"/>
          <w:rtl/>
        </w:rPr>
        <w:t>, כמו גם</w:t>
      </w:r>
      <w:r w:rsidR="00AB2AAA">
        <w:rPr>
          <w:rFonts w:hint="cs"/>
          <w:sz w:val="26"/>
          <w:szCs w:val="26"/>
          <w:rtl/>
        </w:rPr>
        <w:t xml:space="preserve"> </w:t>
      </w:r>
      <w:r w:rsidRPr="006B4C3D">
        <w:rPr>
          <w:sz w:val="26"/>
          <w:szCs w:val="26"/>
          <w:rtl/>
        </w:rPr>
        <w:t xml:space="preserve">הנימוקים להערכה שלו את שיעורי הסיכון לצדדים. כך, בית המשפט יוכל לבחון האם הערכת המגשר מבוססת כראוי והאם הוא שותף לה. בנוסף, הצורך לפירוט בכתב </w:t>
      </w:r>
      <w:r w:rsidR="00296284">
        <w:rPr>
          <w:rFonts w:hint="cs"/>
          <w:sz w:val="26"/>
          <w:szCs w:val="26"/>
          <w:rtl/>
        </w:rPr>
        <w:t>מאת</w:t>
      </w:r>
      <w:r w:rsidR="00296284" w:rsidRPr="006B4C3D">
        <w:rPr>
          <w:sz w:val="26"/>
          <w:szCs w:val="26"/>
          <w:rtl/>
        </w:rPr>
        <w:t xml:space="preserve"> </w:t>
      </w:r>
      <w:r w:rsidRPr="006B4C3D">
        <w:rPr>
          <w:sz w:val="26"/>
          <w:szCs w:val="26"/>
          <w:rtl/>
        </w:rPr>
        <w:t xml:space="preserve">המגשר מגדיל את הסיכוי </w:t>
      </w:r>
      <w:r w:rsidR="00910776">
        <w:rPr>
          <w:rFonts w:hint="cs"/>
          <w:sz w:val="26"/>
          <w:szCs w:val="26"/>
          <w:rtl/>
        </w:rPr>
        <w:t>שההצעה תהיה מבוססת מבחינה מקצועית</w:t>
      </w:r>
      <w:r w:rsidRPr="006B4C3D">
        <w:rPr>
          <w:sz w:val="26"/>
          <w:szCs w:val="26"/>
          <w:rtl/>
        </w:rPr>
        <w:t>.</w:t>
      </w:r>
      <w:r w:rsidRPr="006B4C3D">
        <w:rPr>
          <w:rFonts w:hint="cs"/>
          <w:sz w:val="26"/>
          <w:szCs w:val="26"/>
          <w:rtl/>
        </w:rPr>
        <w:t xml:space="preserve"> בפסק הדין בעניין </w:t>
      </w:r>
      <w:r w:rsidRPr="006B4C3D">
        <w:rPr>
          <w:sz w:val="26"/>
          <w:szCs w:val="26"/>
          <w:rtl/>
        </w:rPr>
        <w:t>ע"א 7122/19 היועץ המשפטי לממשלה נ' רויטל ממן (</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Pr="006B4C3D">
        <w:rPr>
          <w:sz w:val="26"/>
          <w:szCs w:val="26"/>
          <w:rtl/>
        </w:rPr>
        <w:t xml:space="preserve"> 11.4.2022)</w:t>
      </w:r>
      <w:r w:rsidRPr="006B4C3D">
        <w:rPr>
          <w:rFonts w:hint="cs"/>
          <w:sz w:val="26"/>
          <w:szCs w:val="26"/>
          <w:rtl/>
        </w:rPr>
        <w:t xml:space="preserve">, </w:t>
      </w:r>
      <w:r w:rsidRPr="006B4C3D">
        <w:rPr>
          <w:sz w:val="26"/>
          <w:szCs w:val="26"/>
          <w:rtl/>
        </w:rPr>
        <w:t xml:space="preserve">דן בית המשפט </w:t>
      </w:r>
      <w:r w:rsidRPr="006B4C3D">
        <w:rPr>
          <w:rFonts w:hint="cs"/>
          <w:sz w:val="26"/>
          <w:szCs w:val="26"/>
          <w:rtl/>
        </w:rPr>
        <w:t xml:space="preserve">העליון </w:t>
      </w:r>
      <w:r w:rsidRPr="006B4C3D">
        <w:rPr>
          <w:sz w:val="26"/>
          <w:szCs w:val="26"/>
          <w:rtl/>
        </w:rPr>
        <w:t xml:space="preserve">בייחודיות של הליך הגישור בתובענות ייצוגיות וצוין כי לצד היתרונות </w:t>
      </w:r>
      <w:r w:rsidRPr="006B4C3D">
        <w:rPr>
          <w:sz w:val="26"/>
          <w:szCs w:val="26"/>
          <w:rtl/>
        </w:rPr>
        <w:lastRenderedPageBreak/>
        <w:t xml:space="preserve">שבהסתייעות במגשר אשר מסייע לבית המשפט להוביל לפתרון יעיל, מהיר ומוסכם של התובענה הייצוגית, יש בהליך זה גם חסרונות ועולה חשש שהצדדים יגיעו להסכמות על חשבון חברי הקבוצה. כן צוין כי מטבע הדברים קיים גם למגשר, שהצדדים הם לקוחותיו ונושאים בתשלום שכרו, אינטרס בהצלחת הגישור ולכן ולנוכח בעיית הנציג, הצדדים להליך והמגשר עלולים לגבש הסדר פשרה ביתר קלות כך שעולה חשש שההסכמות שיגובשו על ידם לא יתחשבו במידה הראויה באינטרס חברי הקבוצה. לכן, על בית המשפט להקפיד על בחינת הסדרי פשרה גם כאשר אלו גובשו בהליך גישור והעובדה שההסדר המובא לאישור בית המשפט גובש בעזרת מגשר לא די בה כשלעצמה כדי להוביל לאישורו. עוד הוער שם, שניתן לצפות ממגשר שיפעל להשגת הסדר פשרה שיימצא ראוי כאשר יובא לבחינתו של בית המשפט. </w:t>
      </w:r>
    </w:p>
    <w:p w14:paraId="15E8E893" w14:textId="77777777"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מוצע, בהמשך להמלצת הצוות הבין משרדי לקבוע חובות פירוט וגילוי על הצדדים להסדר פשרה במקרים שבהם נערכו בירורים עובדתיים עם הצדדים והצדדים והמגשר נחשפו לנתונים הנחוצים לשם חישוב סכום הפשרה. </w:t>
      </w:r>
      <w:r w:rsidRPr="006B4C3D">
        <w:rPr>
          <w:sz w:val="26"/>
          <w:szCs w:val="26"/>
          <w:rtl/>
        </w:rPr>
        <w:t xml:space="preserve">במקרים אלו, פרישת תוצרי עבודת המגשר בפני בית המשפט תוכל לסייע בידי בית המשפט לצורך הערכת הסדר הפשרה ובחינה מדוקדקת שלו. יוער כי נתונים אלו יוכלו במקרים המתאימים ובאישור בית המשפט (וכאשר בית המשפט מצא הצדקה עניינית לכך) להיות מוגשים במעטפה סגורה לבית המשפט ולעיונו של היועץ המשפטי לממשלה ולא להיות גלויים לציבור. </w:t>
      </w:r>
    </w:p>
    <w:p w14:paraId="232F1FA7" w14:textId="255A017E" w:rsidR="00C70BD1" w:rsidRPr="00C70BD1" w:rsidRDefault="00CA2DA6" w:rsidP="006B4C3D">
      <w:pPr>
        <w:tabs>
          <w:tab w:val="left" w:pos="1020"/>
        </w:tabs>
        <w:autoSpaceDE w:val="0"/>
        <w:autoSpaceDN w:val="0"/>
        <w:adjustRightInd w:val="0"/>
        <w:snapToGrid w:val="0"/>
        <w:ind w:left="0"/>
        <w:contextualSpacing w:val="0"/>
        <w:textAlignment w:val="center"/>
        <w:rPr>
          <w:b/>
          <w:bCs/>
          <w:sz w:val="26"/>
          <w:szCs w:val="26"/>
          <w:rtl/>
        </w:rPr>
      </w:pPr>
      <w:r>
        <w:rPr>
          <w:rFonts w:hint="cs"/>
          <w:b/>
          <w:bCs/>
          <w:sz w:val="26"/>
          <w:szCs w:val="26"/>
          <w:rtl/>
        </w:rPr>
        <w:t>לפסקה</w:t>
      </w:r>
      <w:r w:rsidR="00C70BD1" w:rsidRPr="00C70BD1">
        <w:rPr>
          <w:rFonts w:hint="cs"/>
          <w:b/>
          <w:bCs/>
          <w:sz w:val="26"/>
          <w:szCs w:val="26"/>
          <w:rtl/>
        </w:rPr>
        <w:t xml:space="preserve"> (2)</w:t>
      </w:r>
    </w:p>
    <w:p w14:paraId="61DE11BF" w14:textId="585F210D" w:rsid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sz w:val="26"/>
          <w:szCs w:val="26"/>
          <w:rtl/>
        </w:rPr>
        <w:t xml:space="preserve">סעיף 18 לחוק תובענות ייצוגיות שעניינו בקשה לאישור הסדר פשרה, קובע בסעיף קטן (ד), בין השאר, כי היועץ המשפטי לממשלה רשאי להגיש לבית המשפט התנגדות להסדר פשרה בתובענה ייצוגית שלגביו הוגשה בקשה לאישור. במטרה לייעל את תהליך ההגשה של התנגדויות כאמור בידי היועץ המשפטי לממשלה, מוצע לתקן את סעיף 18(ד) ולקבוע כי התנגדות כאמור יכול שתוגש גם בידי מי שהיועץ המשפטי לממשלה הסמיכו לכך. כמו כן מוצע </w:t>
      </w:r>
      <w:r w:rsidRPr="00C70BD1">
        <w:rPr>
          <w:rFonts w:hint="cs"/>
          <w:sz w:val="26"/>
          <w:szCs w:val="26"/>
          <w:rtl/>
        </w:rPr>
        <w:t>להאריך את תקופת ההתנגדויות ל</w:t>
      </w:r>
      <w:r w:rsidR="007B6652">
        <w:rPr>
          <w:rFonts w:hint="cs"/>
          <w:sz w:val="26"/>
          <w:szCs w:val="26"/>
          <w:rtl/>
        </w:rPr>
        <w:t>-</w:t>
      </w:r>
      <w:r w:rsidRPr="00C70BD1">
        <w:rPr>
          <w:rFonts w:hint="cs"/>
          <w:sz w:val="26"/>
          <w:szCs w:val="26"/>
          <w:rtl/>
        </w:rPr>
        <w:t xml:space="preserve">60 ימים שייספרו </w:t>
      </w:r>
      <w:r w:rsidRPr="00C70BD1">
        <w:rPr>
          <w:sz w:val="26"/>
          <w:szCs w:val="26"/>
          <w:rtl/>
        </w:rPr>
        <w:t xml:space="preserve">החל מהיום שבו התקבלה אצל היועץ המשפטי לממשלה הודעה בדבר הגשת הבקשה בצירוף המסמכים כאמור בסעיף 18(ג) או מיום פרסום ההודעה כאמור לציבור בהתאם להוראות אותו סעיף, לפי המועד המאוחר </w:t>
      </w:r>
      <w:proofErr w:type="spellStart"/>
      <w:r w:rsidRPr="00C70BD1">
        <w:rPr>
          <w:sz w:val="26"/>
          <w:szCs w:val="26"/>
          <w:rtl/>
        </w:rPr>
        <w:t>מביניהם</w:t>
      </w:r>
      <w:proofErr w:type="spellEnd"/>
      <w:r w:rsidRPr="00C70BD1">
        <w:rPr>
          <w:sz w:val="26"/>
          <w:szCs w:val="26"/>
          <w:rtl/>
        </w:rPr>
        <w:t xml:space="preserve">. </w:t>
      </w:r>
    </w:p>
    <w:p w14:paraId="32BE7938" w14:textId="17670688" w:rsidR="000B7A40" w:rsidRDefault="000B7A40" w:rsidP="006B4C3D">
      <w:pPr>
        <w:tabs>
          <w:tab w:val="left" w:pos="1020"/>
        </w:tabs>
        <w:autoSpaceDE w:val="0"/>
        <w:autoSpaceDN w:val="0"/>
        <w:adjustRightInd w:val="0"/>
        <w:snapToGrid w:val="0"/>
        <w:ind w:left="0"/>
        <w:contextualSpacing w:val="0"/>
        <w:textAlignment w:val="center"/>
        <w:rPr>
          <w:b/>
          <w:bCs/>
          <w:sz w:val="26"/>
          <w:szCs w:val="26"/>
          <w:rtl/>
        </w:rPr>
      </w:pPr>
      <w:r>
        <w:rPr>
          <w:rFonts w:hint="cs"/>
          <w:b/>
          <w:bCs/>
          <w:sz w:val="26"/>
          <w:szCs w:val="26"/>
          <w:rtl/>
        </w:rPr>
        <w:t>לפסקה (3)</w:t>
      </w:r>
    </w:p>
    <w:p w14:paraId="4A663C8F" w14:textId="4612A46C" w:rsidR="002E2602" w:rsidRPr="00101D26" w:rsidRDefault="000B7A40" w:rsidP="006B4C3D">
      <w:pPr>
        <w:tabs>
          <w:tab w:val="left" w:pos="1020"/>
        </w:tabs>
        <w:autoSpaceDE w:val="0"/>
        <w:autoSpaceDN w:val="0"/>
        <w:adjustRightInd w:val="0"/>
        <w:snapToGrid w:val="0"/>
        <w:ind w:left="0"/>
        <w:contextualSpacing w:val="0"/>
        <w:textAlignment w:val="center"/>
        <w:rPr>
          <w:b/>
          <w:bCs/>
          <w:sz w:val="26"/>
          <w:szCs w:val="26"/>
          <w:rtl/>
        </w:rPr>
      </w:pPr>
      <w:r w:rsidRPr="00101D26">
        <w:rPr>
          <w:sz w:val="26"/>
          <w:szCs w:val="26"/>
          <w:rtl/>
        </w:rPr>
        <w:t xml:space="preserve">כפי </w:t>
      </w:r>
      <w:r w:rsidRPr="00545933">
        <w:rPr>
          <w:sz w:val="26"/>
          <w:szCs w:val="26"/>
          <w:rtl/>
        </w:rPr>
        <w:t>שיפורט להלן</w:t>
      </w:r>
      <w:r w:rsidR="007B6652" w:rsidRPr="00545933">
        <w:rPr>
          <w:rFonts w:hint="cs"/>
          <w:sz w:val="26"/>
          <w:szCs w:val="26"/>
          <w:rtl/>
        </w:rPr>
        <w:t xml:space="preserve"> </w:t>
      </w:r>
      <w:r w:rsidR="007B6652" w:rsidRPr="00545933">
        <w:rPr>
          <w:rFonts w:hint="eastAsia"/>
          <w:sz w:val="26"/>
          <w:szCs w:val="26"/>
          <w:rtl/>
        </w:rPr>
        <w:t>בסעיף</w:t>
      </w:r>
      <w:r w:rsidR="007B6652" w:rsidRPr="00545933">
        <w:rPr>
          <w:sz w:val="26"/>
          <w:szCs w:val="26"/>
          <w:rtl/>
        </w:rPr>
        <w:t xml:space="preserve"> 17 </w:t>
      </w:r>
      <w:r w:rsidR="007B6652" w:rsidRPr="00545933">
        <w:rPr>
          <w:rFonts w:hint="eastAsia"/>
          <w:sz w:val="26"/>
          <w:szCs w:val="26"/>
          <w:rtl/>
        </w:rPr>
        <w:t>המוצע</w:t>
      </w:r>
      <w:r w:rsidR="007B6652" w:rsidRPr="00545933">
        <w:rPr>
          <w:sz w:val="26"/>
          <w:szCs w:val="26"/>
          <w:rtl/>
        </w:rPr>
        <w:t xml:space="preserve"> </w:t>
      </w:r>
      <w:r w:rsidR="007B6652" w:rsidRPr="00545933">
        <w:rPr>
          <w:rFonts w:hint="eastAsia"/>
          <w:sz w:val="26"/>
          <w:szCs w:val="26"/>
          <w:rtl/>
        </w:rPr>
        <w:t>לתזכיר</w:t>
      </w:r>
      <w:r w:rsidR="007B6652" w:rsidRPr="00545933">
        <w:rPr>
          <w:sz w:val="26"/>
          <w:szCs w:val="26"/>
          <w:rtl/>
        </w:rPr>
        <w:t xml:space="preserve"> </w:t>
      </w:r>
      <w:r w:rsidR="007B6652" w:rsidRPr="00545933">
        <w:rPr>
          <w:rFonts w:hint="eastAsia"/>
          <w:sz w:val="26"/>
          <w:szCs w:val="26"/>
          <w:rtl/>
        </w:rPr>
        <w:t>זה</w:t>
      </w:r>
      <w:r w:rsidRPr="00545933">
        <w:rPr>
          <w:sz w:val="26"/>
          <w:szCs w:val="26"/>
          <w:rtl/>
        </w:rPr>
        <w:t>, מוצע שהגמול ושכר הטרחה ייקבעו באופן ברור ומובנה בתוספת החמישית לחוק וזאת בהתאם לסכום הפיצוי שייקבע בהליך. לאור האמור, מוצע לבטל את האפשרות של הצדדים להגיש לבית המשפט המלצה מוסכמת</w:t>
      </w:r>
      <w:r w:rsidRPr="00101D26">
        <w:rPr>
          <w:sz w:val="26"/>
          <w:szCs w:val="26"/>
          <w:rtl/>
        </w:rPr>
        <w:t xml:space="preserve"> לגובה הגמול ושכר הטרחה ובית המשפט הוא שיקבע את גובהם.</w:t>
      </w:r>
      <w:r w:rsidR="00D37D59">
        <w:rPr>
          <w:rFonts w:hint="cs"/>
          <w:sz w:val="26"/>
          <w:szCs w:val="26"/>
          <w:rtl/>
        </w:rPr>
        <w:t xml:space="preserve"> </w:t>
      </w:r>
    </w:p>
    <w:p w14:paraId="10E27767" w14:textId="2419E874" w:rsidR="00C70BD1" w:rsidRPr="00C70BD1" w:rsidRDefault="00C70BD1" w:rsidP="006B4C3D">
      <w:pPr>
        <w:tabs>
          <w:tab w:val="left" w:pos="1020"/>
        </w:tabs>
        <w:autoSpaceDE w:val="0"/>
        <w:autoSpaceDN w:val="0"/>
        <w:adjustRightInd w:val="0"/>
        <w:snapToGrid w:val="0"/>
        <w:ind w:left="0"/>
        <w:contextualSpacing w:val="0"/>
        <w:textAlignment w:val="center"/>
        <w:rPr>
          <w:b/>
          <w:bCs/>
          <w:sz w:val="26"/>
          <w:szCs w:val="26"/>
          <w:rtl/>
        </w:rPr>
      </w:pPr>
      <w:r w:rsidRPr="00C70BD1">
        <w:rPr>
          <w:rFonts w:hint="cs"/>
          <w:b/>
          <w:bCs/>
          <w:sz w:val="26"/>
          <w:szCs w:val="26"/>
          <w:rtl/>
        </w:rPr>
        <w:t>סעי</w:t>
      </w:r>
      <w:r w:rsidR="0074390A">
        <w:rPr>
          <w:rFonts w:hint="cs"/>
          <w:b/>
          <w:bCs/>
          <w:sz w:val="26"/>
          <w:szCs w:val="26"/>
          <w:rtl/>
        </w:rPr>
        <w:t>פים</w:t>
      </w:r>
      <w:r w:rsidRPr="00C70BD1">
        <w:rPr>
          <w:rFonts w:hint="cs"/>
          <w:b/>
          <w:bCs/>
          <w:sz w:val="26"/>
          <w:szCs w:val="26"/>
          <w:rtl/>
        </w:rPr>
        <w:t xml:space="preserve"> </w:t>
      </w:r>
      <w:r w:rsidR="00D737C3" w:rsidRPr="00C70BD1">
        <w:rPr>
          <w:rFonts w:hint="cs"/>
          <w:b/>
          <w:bCs/>
          <w:sz w:val="26"/>
          <w:szCs w:val="26"/>
          <w:rtl/>
        </w:rPr>
        <w:t>1</w:t>
      </w:r>
      <w:r w:rsidR="00D737C3">
        <w:rPr>
          <w:rFonts w:hint="cs"/>
          <w:b/>
          <w:bCs/>
          <w:sz w:val="26"/>
          <w:szCs w:val="26"/>
          <w:rtl/>
        </w:rPr>
        <w:t>4</w:t>
      </w:r>
      <w:r w:rsidR="0074390A">
        <w:rPr>
          <w:rFonts w:hint="cs"/>
          <w:b/>
          <w:bCs/>
          <w:sz w:val="26"/>
          <w:szCs w:val="26"/>
          <w:rtl/>
        </w:rPr>
        <w:t xml:space="preserve"> ו-22</w:t>
      </w:r>
    </w:p>
    <w:p w14:paraId="5B0B6DC7" w14:textId="24C31050"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בהתאם לסעיף 20 העוסק בכללי חלוקת הפיצוי לחברי הקבוצה, </w:t>
      </w:r>
      <w:r w:rsidRPr="00C70BD1">
        <w:rPr>
          <w:sz w:val="26"/>
          <w:szCs w:val="26"/>
          <w:rtl/>
        </w:rPr>
        <w:t>דרך המלך היא מתן פיצוי כספי אישי לחברי הקבוצה שנפגעו מהפרת הדין</w:t>
      </w:r>
      <w:r w:rsidRPr="00C70BD1">
        <w:rPr>
          <w:rFonts w:hint="cs"/>
          <w:sz w:val="26"/>
          <w:szCs w:val="26"/>
          <w:rtl/>
        </w:rPr>
        <w:t xml:space="preserve"> כאשר ניתן וסביר לאתרם</w:t>
      </w:r>
      <w:r w:rsidRPr="00C70BD1">
        <w:rPr>
          <w:sz w:val="26"/>
          <w:szCs w:val="26"/>
          <w:rtl/>
        </w:rPr>
        <w:t xml:space="preserve">. רק ככל שפיצוי כאמור אינו מעשי, ניתן להורות על מתן סעד אחר לטובת הקבוצה, כולה או חלקה, או לטובת הציבור. על אף </w:t>
      </w:r>
      <w:r w:rsidRPr="00C70BD1">
        <w:rPr>
          <w:rFonts w:hint="cs"/>
          <w:sz w:val="26"/>
          <w:szCs w:val="26"/>
          <w:rtl/>
        </w:rPr>
        <w:t xml:space="preserve">זאת, בפועל, </w:t>
      </w:r>
      <w:r w:rsidRPr="00C70BD1">
        <w:rPr>
          <w:sz w:val="26"/>
          <w:szCs w:val="26"/>
          <w:rtl/>
        </w:rPr>
        <w:t>במקרים רבים הפיצוי שניתן לחברי הקבוצה</w:t>
      </w:r>
      <w:r w:rsidRPr="00C70BD1">
        <w:rPr>
          <w:rFonts w:hint="cs"/>
          <w:sz w:val="26"/>
          <w:szCs w:val="26"/>
          <w:rtl/>
        </w:rPr>
        <w:t xml:space="preserve"> במסגרת הסדרי פשרה</w:t>
      </w:r>
      <w:r w:rsidRPr="00C70BD1">
        <w:rPr>
          <w:sz w:val="26"/>
          <w:szCs w:val="26"/>
          <w:rtl/>
        </w:rPr>
        <w:t xml:space="preserve"> הוא סעד בעין ולא סעד כספי וזאת גם במקרים שנראה שקיימת לכאורה אפשרות מעשית להענקת סעד כספי לחברי הקבוצה. </w:t>
      </w:r>
      <w:r w:rsidRPr="00C70BD1">
        <w:rPr>
          <w:rFonts w:hint="cs"/>
          <w:sz w:val="26"/>
          <w:szCs w:val="26"/>
          <w:rtl/>
        </w:rPr>
        <w:t>מ</w:t>
      </w:r>
      <w:r w:rsidRPr="00C70BD1">
        <w:rPr>
          <w:sz w:val="26"/>
          <w:szCs w:val="26"/>
          <w:rtl/>
        </w:rPr>
        <w:t>צב זה מעורר קושי שכן במקרים רבים סוג פיצוי זה אינו עולה בקנה אחד עם מטרות החוק בדבר הענקת סעד הולם לנפגעים וכן הרתעת הגוף הנתבע מפני הפרת הדין</w:t>
      </w:r>
      <w:r w:rsidR="00910776">
        <w:rPr>
          <w:rFonts w:hint="cs"/>
          <w:sz w:val="26"/>
          <w:szCs w:val="26"/>
          <w:rtl/>
        </w:rPr>
        <w:t>,</w:t>
      </w:r>
      <w:r w:rsidRPr="00C70BD1">
        <w:rPr>
          <w:rFonts w:hint="cs"/>
          <w:sz w:val="26"/>
          <w:szCs w:val="26"/>
          <w:rtl/>
        </w:rPr>
        <w:t xml:space="preserve"> שכן הוא מעורר קשיים</w:t>
      </w:r>
      <w:r w:rsidR="00910776">
        <w:rPr>
          <w:rFonts w:hint="cs"/>
          <w:sz w:val="26"/>
          <w:szCs w:val="26"/>
          <w:rtl/>
        </w:rPr>
        <w:t>, בין השאר,</w:t>
      </w:r>
      <w:r w:rsidRPr="00C70BD1">
        <w:rPr>
          <w:rFonts w:hint="cs"/>
          <w:sz w:val="26"/>
          <w:szCs w:val="26"/>
          <w:rtl/>
        </w:rPr>
        <w:t xml:space="preserve"> במימוש ההטבות על ידי חברי הקבוצה וקשיים בהערכת שווי ההטבה</w:t>
      </w:r>
      <w:r w:rsidRPr="00C70BD1">
        <w:rPr>
          <w:sz w:val="26"/>
          <w:szCs w:val="26"/>
          <w:rtl/>
        </w:rPr>
        <w:t xml:space="preserve">. </w:t>
      </w:r>
    </w:p>
    <w:p w14:paraId="607F5072" w14:textId="557D38A9"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lastRenderedPageBreak/>
        <w:t xml:space="preserve">על כן, מוצע לקבוע כי </w:t>
      </w:r>
      <w:r w:rsidRPr="00C70BD1">
        <w:rPr>
          <w:sz w:val="26"/>
          <w:szCs w:val="26"/>
          <w:rtl/>
        </w:rPr>
        <w:t xml:space="preserve">במקרים שבהם ניתן לאתר את חברי הקבוצה ולפצותם באופן אישי, ברירת המחדל תהיה פיצוי כספי אישי לחברי הקבוצה. ככל שנתבע </w:t>
      </w:r>
      <w:r w:rsidR="00E75E6A">
        <w:rPr>
          <w:rFonts w:hint="cs"/>
          <w:sz w:val="26"/>
          <w:szCs w:val="26"/>
          <w:rtl/>
        </w:rPr>
        <w:t>י</w:t>
      </w:r>
      <w:r w:rsidRPr="00C70BD1">
        <w:rPr>
          <w:sz w:val="26"/>
          <w:szCs w:val="26"/>
          <w:rtl/>
        </w:rPr>
        <w:t>היה מעוניי</w:t>
      </w:r>
      <w:r w:rsidR="00EF1EDA">
        <w:rPr>
          <w:rFonts w:hint="cs"/>
          <w:sz w:val="26"/>
          <w:szCs w:val="26"/>
          <w:rtl/>
        </w:rPr>
        <w:t>ן</w:t>
      </w:r>
      <w:r w:rsidRPr="00C70BD1">
        <w:rPr>
          <w:sz w:val="26"/>
          <w:szCs w:val="26"/>
          <w:rtl/>
        </w:rPr>
        <w:t xml:space="preserve"> להציע סעד בעין, יהיה עלי</w:t>
      </w:r>
      <w:r w:rsidR="00E75E6A">
        <w:rPr>
          <w:rFonts w:hint="cs"/>
          <w:sz w:val="26"/>
          <w:szCs w:val="26"/>
          <w:rtl/>
        </w:rPr>
        <w:t>ו</w:t>
      </w:r>
      <w:r w:rsidRPr="00C70BD1">
        <w:rPr>
          <w:sz w:val="26"/>
          <w:szCs w:val="26"/>
          <w:rtl/>
        </w:rPr>
        <w:t xml:space="preserve"> להציע זאת כחלופה לפיצוי כספי ורק במקרים שבהם חבר הקבוצה יבחר באופן אקטיבי בסעד זה, חלף פיצוי כספי. פתרון זה יאפשר גמישות לנתבע</w:t>
      </w:r>
      <w:r w:rsidR="00E75E6A">
        <w:rPr>
          <w:rFonts w:hint="cs"/>
          <w:sz w:val="26"/>
          <w:szCs w:val="26"/>
          <w:rtl/>
        </w:rPr>
        <w:t>ים</w:t>
      </w:r>
      <w:r w:rsidRPr="00C70BD1">
        <w:rPr>
          <w:sz w:val="26"/>
          <w:szCs w:val="26"/>
          <w:rtl/>
        </w:rPr>
        <w:t xml:space="preserve"> להציע סעד בעין לחברי הקבוצה, אך יתמרץ אות</w:t>
      </w:r>
      <w:r w:rsidR="00E75E6A">
        <w:rPr>
          <w:rFonts w:hint="cs"/>
          <w:sz w:val="26"/>
          <w:szCs w:val="26"/>
          <w:rtl/>
        </w:rPr>
        <w:t>ם</w:t>
      </w:r>
      <w:r w:rsidRPr="00C70BD1">
        <w:rPr>
          <w:sz w:val="26"/>
          <w:szCs w:val="26"/>
          <w:rtl/>
        </w:rPr>
        <w:t xml:space="preserve"> להציע סעד בעין בשווי משמעותי על מנת שחברי הקבוצה יהיו מעוניינים בו</w:t>
      </w:r>
      <w:r w:rsidR="00910776">
        <w:rPr>
          <w:rFonts w:hint="cs"/>
          <w:sz w:val="26"/>
          <w:szCs w:val="26"/>
          <w:rtl/>
        </w:rPr>
        <w:t>,</w:t>
      </w:r>
      <w:r w:rsidRPr="00C70BD1">
        <w:rPr>
          <w:sz w:val="26"/>
          <w:szCs w:val="26"/>
          <w:rtl/>
        </w:rPr>
        <w:t xml:space="preserve"> שכן ברירת המחדל במקרים שבהם חברי הקבוצה לא הודיעו אחרת תהיה סעד כספי. בנוסף, במקרה שבו לא ניתן לאתר את חברי הקבוצה או במקרה שבו פיצוי אישי לחברי הקבוצה אינו מעשי</w:t>
      </w:r>
      <w:r w:rsidRPr="00C70BD1">
        <w:rPr>
          <w:rFonts w:hint="cs"/>
          <w:sz w:val="26"/>
          <w:szCs w:val="26"/>
          <w:rtl/>
        </w:rPr>
        <w:t>, יורה בית המשפט על העברת הכספים לקרן לחלוקת כספים שהוקמה מכוח סעיף 27א לחוק. עם זאת, במסגרת הסדר פשרה, ככל ש</w:t>
      </w:r>
      <w:r w:rsidRPr="00C70BD1">
        <w:rPr>
          <w:sz w:val="26"/>
          <w:szCs w:val="26"/>
          <w:rtl/>
        </w:rPr>
        <w:t>הצדדים מעוניינים להציע פיצוי שאינו כספי לקבוצה, כולה או חלקה</w:t>
      </w:r>
      <w:r w:rsidRPr="00C70BD1">
        <w:rPr>
          <w:rFonts w:hint="cs"/>
          <w:sz w:val="26"/>
          <w:szCs w:val="26"/>
          <w:rtl/>
        </w:rPr>
        <w:t>,</w:t>
      </w:r>
      <w:r w:rsidRPr="00C70BD1">
        <w:rPr>
          <w:sz w:val="26"/>
          <w:szCs w:val="26"/>
          <w:rtl/>
        </w:rPr>
        <w:t xml:space="preserve"> הצדדים יצטרכו להציג בפני בית המשפט שתי אפשרויות המקובלות עליהם לצורך פיצוי במסגרת הפשרה, כאשר ההכרעה שבין האפשרויות תהיה של בית המשפט</w:t>
      </w:r>
      <w:r w:rsidRPr="00C70BD1">
        <w:rPr>
          <w:rFonts w:hint="cs"/>
          <w:sz w:val="26"/>
          <w:szCs w:val="26"/>
          <w:rtl/>
        </w:rPr>
        <w:t xml:space="preserve"> בהתאם לאינטרסים של חברי הקבוצה</w:t>
      </w:r>
      <w:r w:rsidRPr="00C70BD1">
        <w:rPr>
          <w:sz w:val="26"/>
          <w:szCs w:val="26"/>
          <w:rtl/>
        </w:rPr>
        <w:t xml:space="preserve"> ולא של הצדדים לתיק. בהקשר זה, יובהר כי הצדדים יוכלו להציע סכומי פיצוי שונים ביחס לכל אפשרות פיצוי וזאת בהתאם לשיקול דעתם ואין כוונה שגובה שווי הסעד בעין המוצע על ידם יהיה שווה לגובה הסכום שהצדדים יציעו להעביר לקרן. פתרון זה יאזן מצד אחד בין הרצון לאפשר לצדדים לקבוע פשרה שמקובלת עליהם ומביאה בחשבון את הסיכונים והסיכויים בתיק</w:t>
      </w:r>
      <w:r w:rsidR="00910776">
        <w:rPr>
          <w:rFonts w:hint="cs"/>
          <w:sz w:val="26"/>
          <w:szCs w:val="26"/>
          <w:rtl/>
        </w:rPr>
        <w:t>,</w:t>
      </w:r>
      <w:r w:rsidRPr="00C70BD1">
        <w:rPr>
          <w:sz w:val="26"/>
          <w:szCs w:val="26"/>
          <w:rtl/>
        </w:rPr>
        <w:t xml:space="preserve"> לדעת הצדדים</w:t>
      </w:r>
      <w:r w:rsidR="00910776">
        <w:rPr>
          <w:rFonts w:hint="cs"/>
          <w:sz w:val="26"/>
          <w:szCs w:val="26"/>
          <w:rtl/>
        </w:rPr>
        <w:t>,</w:t>
      </w:r>
      <w:r w:rsidRPr="00C70BD1">
        <w:rPr>
          <w:sz w:val="26"/>
          <w:szCs w:val="26"/>
          <w:rtl/>
        </w:rPr>
        <w:t xml:space="preserve"> ומן הצד השני, היא תאפשר לבית המשפט לבחור את האפשרות המתאימה ביותר בראי האינטרסים של חברי הקבוצה וכמובן בראי הסיכונים והסיכויים של הצדדים לתיק. יוער כי על החלטה זו של בית המשפט הצדדים לא יוכלו להגיש ערעור שכן בית המשפט יבחר בין שתי חלופות שיציעו הצדדים ואשר שתיהן, כאמור, מקובלות עליהם.</w:t>
      </w:r>
    </w:p>
    <w:p w14:paraId="0F3E0780" w14:textId="3D476382" w:rsidR="00C70BD1" w:rsidRPr="00AB104E" w:rsidRDefault="00C70BD1" w:rsidP="009B3673">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בנוסף, מוצע לקבוע כי לא תתאפשר תרומת מוצרים לעמותות או </w:t>
      </w:r>
      <w:r w:rsidR="00910776">
        <w:rPr>
          <w:rFonts w:hint="cs"/>
          <w:sz w:val="26"/>
          <w:szCs w:val="26"/>
          <w:rtl/>
        </w:rPr>
        <w:t>ל</w:t>
      </w:r>
      <w:r w:rsidRPr="00C70BD1">
        <w:rPr>
          <w:rFonts w:hint="cs"/>
          <w:sz w:val="26"/>
          <w:szCs w:val="26"/>
          <w:rtl/>
        </w:rPr>
        <w:t xml:space="preserve">צדדים שלישיים כסעד בתובענה ייצוגית וזאת בשל החסרונות המשמעותיים בתרומת מוצרים והניסיון לעקוף את הוראות החוק בעניין העברת תרומה כספית לקרן לחלוקת כספים שהוקמה מכוח סעיף 27א לחוק. מעבר לקשיים הקיימים בסעד בעין, בתרומת מוצרים ישנם קשיים נוספים הנוגעים לכך שמדובר בתרומה. כך, בין היתר, בתרומת מוצרים </w:t>
      </w:r>
      <w:r w:rsidR="00E75E6A" w:rsidRPr="00C70BD1">
        <w:rPr>
          <w:rFonts w:hint="cs"/>
          <w:sz w:val="26"/>
          <w:szCs w:val="26"/>
          <w:rtl/>
        </w:rPr>
        <w:t>נהנ</w:t>
      </w:r>
      <w:r w:rsidR="00E75E6A">
        <w:rPr>
          <w:rFonts w:hint="cs"/>
          <w:sz w:val="26"/>
          <w:szCs w:val="26"/>
          <w:rtl/>
        </w:rPr>
        <w:t>ה</w:t>
      </w:r>
      <w:r w:rsidR="00E75E6A" w:rsidRPr="00C70BD1">
        <w:rPr>
          <w:rFonts w:hint="cs"/>
          <w:sz w:val="26"/>
          <w:szCs w:val="26"/>
          <w:rtl/>
        </w:rPr>
        <w:t xml:space="preserve"> </w:t>
      </w:r>
      <w:r w:rsidRPr="00C70BD1">
        <w:rPr>
          <w:rFonts w:hint="cs"/>
          <w:sz w:val="26"/>
          <w:szCs w:val="26"/>
          <w:rtl/>
        </w:rPr>
        <w:t>הנתבע מהעצמת המוניטין החברתי של</w:t>
      </w:r>
      <w:r w:rsidR="00E75E6A">
        <w:rPr>
          <w:rFonts w:hint="cs"/>
          <w:sz w:val="26"/>
          <w:szCs w:val="26"/>
          <w:rtl/>
        </w:rPr>
        <w:t>ו</w:t>
      </w:r>
      <w:r w:rsidRPr="00C70BD1">
        <w:rPr>
          <w:rFonts w:hint="cs"/>
          <w:sz w:val="26"/>
          <w:szCs w:val="26"/>
          <w:rtl/>
        </w:rPr>
        <w:t xml:space="preserve">, קיים חשש שהנתבע </w:t>
      </w:r>
      <w:r w:rsidR="00E75E6A">
        <w:rPr>
          <w:rFonts w:hint="cs"/>
          <w:sz w:val="26"/>
          <w:szCs w:val="26"/>
          <w:rtl/>
        </w:rPr>
        <w:t>י</w:t>
      </w:r>
      <w:r w:rsidRPr="00C70BD1">
        <w:rPr>
          <w:rFonts w:hint="cs"/>
          <w:sz w:val="26"/>
          <w:szCs w:val="26"/>
          <w:rtl/>
        </w:rPr>
        <w:t xml:space="preserve">בחר מוצרים </w:t>
      </w:r>
      <w:r w:rsidR="00E75E6A" w:rsidRPr="00C70BD1">
        <w:rPr>
          <w:rFonts w:hint="cs"/>
          <w:sz w:val="26"/>
          <w:szCs w:val="26"/>
          <w:rtl/>
        </w:rPr>
        <w:t>שה</w:t>
      </w:r>
      <w:r w:rsidR="00E75E6A">
        <w:rPr>
          <w:rFonts w:hint="cs"/>
          <w:sz w:val="26"/>
          <w:szCs w:val="26"/>
          <w:rtl/>
        </w:rPr>
        <w:t>ו</w:t>
      </w:r>
      <w:r w:rsidR="00E75E6A" w:rsidRPr="00C70BD1">
        <w:rPr>
          <w:rFonts w:hint="cs"/>
          <w:sz w:val="26"/>
          <w:szCs w:val="26"/>
          <w:rtl/>
        </w:rPr>
        <w:t xml:space="preserve">א </w:t>
      </w:r>
      <w:r w:rsidRPr="00C70BD1">
        <w:rPr>
          <w:rFonts w:hint="cs"/>
          <w:sz w:val="26"/>
          <w:szCs w:val="26"/>
          <w:rtl/>
        </w:rPr>
        <w:t>מעוניי</w:t>
      </w:r>
      <w:r w:rsidR="00E75E6A">
        <w:rPr>
          <w:rFonts w:hint="cs"/>
          <w:sz w:val="26"/>
          <w:szCs w:val="26"/>
          <w:rtl/>
        </w:rPr>
        <w:t>ן</w:t>
      </w:r>
      <w:r w:rsidRPr="00C70BD1">
        <w:rPr>
          <w:rFonts w:hint="cs"/>
          <w:sz w:val="26"/>
          <w:szCs w:val="26"/>
          <w:rtl/>
        </w:rPr>
        <w:t xml:space="preserve"> להפיץ או מוצרים שנשארו במלאי, קיימים קשיים הנוגעים לאופן בחירת הגוף שיקבל את התרומה </w:t>
      </w:r>
      <w:r w:rsidR="00D91CC2">
        <w:rPr>
          <w:rFonts w:hint="cs"/>
          <w:sz w:val="26"/>
          <w:szCs w:val="26"/>
          <w:rtl/>
        </w:rPr>
        <w:t xml:space="preserve">ובחשש שקיימים קשרים בינו לבין הצדדים להליך </w:t>
      </w:r>
      <w:r w:rsidRPr="00C70BD1">
        <w:rPr>
          <w:rFonts w:hint="cs"/>
          <w:sz w:val="26"/>
          <w:szCs w:val="26"/>
          <w:rtl/>
        </w:rPr>
        <w:t xml:space="preserve">וכן קשיים בפיקוח על העברת המוצרים. </w:t>
      </w:r>
      <w:r w:rsidRPr="009B3673">
        <w:rPr>
          <w:sz w:val="26"/>
          <w:szCs w:val="26"/>
          <w:rtl/>
        </w:rPr>
        <w:t xml:space="preserve">קשיים אלו שבמתן תרומת מוצרים מלמדים על פגיעה במטרת ההרתעה מפני הפרת הדין, שהיא מטרה מרכזית במקרים שבהם אין אפשרות לפצות באופן ישיר את חברי הקבוצה. </w:t>
      </w:r>
      <w:r w:rsidR="00E063A1" w:rsidRPr="00E063A1">
        <w:rPr>
          <w:sz w:val="26"/>
          <w:szCs w:val="26"/>
          <w:rtl/>
        </w:rPr>
        <w:t>בהקשר זה יצוין כי הקרן לחלוקת כספים הוקמה במסגרת תיקון מס' 10 לחוק</w:t>
      </w:r>
      <w:r w:rsidR="009B3673">
        <w:rPr>
          <w:rFonts w:hint="cs"/>
          <w:sz w:val="26"/>
          <w:szCs w:val="26"/>
          <w:rtl/>
        </w:rPr>
        <w:t xml:space="preserve"> (</w:t>
      </w:r>
      <w:r w:rsidR="009B3673" w:rsidRPr="009B3673">
        <w:rPr>
          <w:sz w:val="26"/>
          <w:szCs w:val="26"/>
          <w:rtl/>
        </w:rPr>
        <w:t>חוק תובענות ייצוגיות (תיקון מס' 10), התשע"ו-2016</w:t>
      </w:r>
      <w:r w:rsidR="009B3673">
        <w:rPr>
          <w:rFonts w:hint="cs"/>
          <w:sz w:val="26"/>
          <w:szCs w:val="26"/>
          <w:rtl/>
        </w:rPr>
        <w:t>)</w:t>
      </w:r>
      <w:r w:rsidR="00E063A1" w:rsidRPr="00E063A1">
        <w:rPr>
          <w:sz w:val="26"/>
          <w:szCs w:val="26"/>
          <w:rtl/>
        </w:rPr>
        <w:t xml:space="preserve"> וזאת על רקע קשיים דומים. כך, בהסדרי פשרה רבים הצדדים לתובענה היו בוחרים לאילו גופים להעניק את התרומה, במקרים שבהם סעד לטובת חברי הקבוצה לא היה מעשי. קשיים אלו היו, בין היתר, בנוגע למטרות התרומה, אופן חלוקתה, קושי במנגנון פיקוח על העברת התרומה, חששות בדבר קשרים קודמים בין הנתבע ובין מקבל התרומה, אופן בחירת העמותה ויתרונות שעלולים לנבוע עבור הנתבע בהצגת תרומה פילנטרופית מטעמה כאשר מדובר בכספי הקבוצה</w:t>
      </w:r>
      <w:r w:rsidR="00E063A1">
        <w:rPr>
          <w:rFonts w:hint="cs"/>
          <w:sz w:val="26"/>
          <w:szCs w:val="26"/>
          <w:rtl/>
        </w:rPr>
        <w:t xml:space="preserve"> (</w:t>
      </w:r>
      <w:r w:rsidR="00E063A1" w:rsidRPr="00E063A1">
        <w:rPr>
          <w:sz w:val="26"/>
          <w:szCs w:val="26"/>
          <w:rtl/>
        </w:rPr>
        <w:t xml:space="preserve">ת"צ 22236-07-11 </w:t>
      </w:r>
      <w:r w:rsidR="00E063A1" w:rsidRPr="00E063A1">
        <w:rPr>
          <w:b/>
          <w:bCs/>
          <w:sz w:val="26"/>
          <w:szCs w:val="26"/>
          <w:rtl/>
        </w:rPr>
        <w:t>שרייר ואח' נ' שירותי בנק אוטומטיים בע"מ ואח'</w:t>
      </w:r>
      <w:r w:rsidR="00E063A1" w:rsidRPr="00E063A1">
        <w:rPr>
          <w:rFonts w:hint="cs"/>
          <w:sz w:val="26"/>
          <w:szCs w:val="26"/>
          <w:rtl/>
        </w:rPr>
        <w:t xml:space="preserve"> (פורסם </w:t>
      </w:r>
      <w:proofErr w:type="spellStart"/>
      <w:r w:rsidR="00E063A1" w:rsidRPr="00E063A1">
        <w:rPr>
          <w:rFonts w:hint="cs"/>
          <w:sz w:val="26"/>
          <w:szCs w:val="26"/>
          <w:rtl/>
        </w:rPr>
        <w:t>באר"ש</w:t>
      </w:r>
      <w:proofErr w:type="spellEnd"/>
      <w:r w:rsidR="00E063A1" w:rsidRPr="00E063A1">
        <w:rPr>
          <w:rFonts w:hint="cs"/>
          <w:sz w:val="26"/>
          <w:szCs w:val="26"/>
          <w:rtl/>
        </w:rPr>
        <w:t xml:space="preserve">, </w:t>
      </w:r>
      <w:r w:rsidR="00E063A1" w:rsidRPr="00E063A1">
        <w:rPr>
          <w:sz w:val="26"/>
          <w:szCs w:val="26"/>
          <w:rtl/>
        </w:rPr>
        <w:t>16.9.2014)</w:t>
      </w:r>
      <w:r w:rsidR="00E063A1" w:rsidRPr="00E063A1">
        <w:rPr>
          <w:rFonts w:hint="cs"/>
          <w:sz w:val="26"/>
          <w:szCs w:val="26"/>
          <w:rtl/>
        </w:rPr>
        <w:t>).</w:t>
      </w:r>
      <w:r w:rsidR="00E063A1" w:rsidRPr="00E063A1">
        <w:rPr>
          <w:sz w:val="26"/>
          <w:szCs w:val="26"/>
          <w:rtl/>
        </w:rPr>
        <w:t xml:space="preserve"> לאור הקשיים הרבים והיקף תופעת התרומות במסגרת הליכי תובענות ייצוגיות, התעורר צורך ביצירת מנגנון חיצוני לצדדים לחלוקת תרומות, כך שהליך בחירת הגוף שיקבל את התרומה יהיה לפי מנגנון שקוף, שוויוני, נטול פניות ומנותק מן הצדדים ובאופן שיקיים זיקה קרובה </w:t>
      </w:r>
      <w:r w:rsidR="00E063A1" w:rsidRPr="00E063A1">
        <w:rPr>
          <w:sz w:val="26"/>
          <w:szCs w:val="26"/>
          <w:rtl/>
        </w:rPr>
        <w:lastRenderedPageBreak/>
        <w:t>ככל האפשר בין חברי הקבוצה לבין ייעוד התרומה. עם זאת, תיקון החוק ביחס לקרן מתייחס לפיצוי על דרך של תרומת כספים, ואינו חל במישרין על תרומת מוצרים. אף מבחינה מעשית, הקרן אינה ערוכה לטפל בתרומות מוצרים. מכיוון שהתיקון האמור אינו חל כאמור על תרומת מוצרים, לאורך השנים לאחר הקמת הקרן, דומה כי צדדים להסדרי פשרה ביקשו לעקוף את הוראת החוק וזאת באמצעות הסכמה על תרומת מוצרים חלף תרומה כספית</w:t>
      </w:r>
      <w:r w:rsidR="00E063A1">
        <w:rPr>
          <w:rFonts w:hint="cs"/>
          <w:sz w:val="26"/>
          <w:szCs w:val="26"/>
          <w:rtl/>
        </w:rPr>
        <w:t>.</w:t>
      </w:r>
      <w:r w:rsidR="00E063A1" w:rsidRPr="00E063A1">
        <w:rPr>
          <w:sz w:val="26"/>
          <w:szCs w:val="26"/>
          <w:rtl/>
        </w:rPr>
        <w:t xml:space="preserve"> </w:t>
      </w:r>
      <w:r w:rsidRPr="00C70BD1">
        <w:rPr>
          <w:rFonts w:eastAsia="Times New Roman" w:hint="cs"/>
          <w:sz w:val="26"/>
          <w:szCs w:val="26"/>
          <w:rtl/>
        </w:rPr>
        <w:t>על כן, מוצע כי במקרים שבהם אין זה מעשי להעניק פיצוי אישי לחברי הקבוצה, הצדדים יוכלו להציע סעד אחר לטובת הקבוצה מעבר להצעה להעברת פיצוי כספי לקרן לחלוקת כספים ולא תתאפשר תרומת מוצרים.</w:t>
      </w:r>
    </w:p>
    <w:p w14:paraId="66B1F5F5" w14:textId="31AABFA7" w:rsidR="000D73A5" w:rsidRDefault="000D73A5" w:rsidP="000D73A5">
      <w:pPr>
        <w:tabs>
          <w:tab w:val="left" w:pos="1020"/>
        </w:tabs>
        <w:autoSpaceDE w:val="0"/>
        <w:autoSpaceDN w:val="0"/>
        <w:adjustRightInd w:val="0"/>
        <w:snapToGrid w:val="0"/>
        <w:ind w:left="0"/>
        <w:contextualSpacing w:val="0"/>
        <w:textAlignment w:val="center"/>
        <w:rPr>
          <w:rFonts w:eastAsia="Times New Roman"/>
          <w:sz w:val="26"/>
          <w:szCs w:val="26"/>
          <w:rtl/>
        </w:rPr>
      </w:pPr>
      <w:r>
        <w:rPr>
          <w:rFonts w:eastAsia="Times New Roman" w:hint="cs"/>
          <w:sz w:val="26"/>
          <w:szCs w:val="26"/>
          <w:rtl/>
        </w:rPr>
        <w:t xml:space="preserve">בנוסף, בכל הנוגע להעברת הכספים לקרן, מוצע לקבוע כי אם בית המשפט מצא כי הייעוד לתחום קרוב אינו מתאים בנסיבות העניין, הוא יהיה רשאי לייעד את הכספים למטרה הנכללת ברשימת המטרות שתפרסם הקרן מעת לעת. </w:t>
      </w:r>
      <w:r w:rsidRPr="00063ADF">
        <w:rPr>
          <w:rFonts w:eastAsia="Times New Roman" w:hint="cs"/>
          <w:sz w:val="26"/>
          <w:szCs w:val="26"/>
          <w:rtl/>
        </w:rPr>
        <w:t>מאז הוקמה קרן תובענות ייצוגיות, התקבלו כספים למטרות שונות. בחלוף השנים, הצטבר ניסיון בקרן תובענות ייצוגיות, ובשל כך מוצע להסמיך את קרן תובענות ייצוגיות לפרסם רשימה של מטרות שתתעדכן מעת לעת, על מנת שבתי המשפט יוכלו להס</w:t>
      </w:r>
      <w:r>
        <w:rPr>
          <w:rFonts w:eastAsia="Times New Roman" w:hint="cs"/>
          <w:sz w:val="26"/>
          <w:szCs w:val="26"/>
          <w:rtl/>
        </w:rPr>
        <w:t>ת</w:t>
      </w:r>
      <w:r w:rsidRPr="00063ADF">
        <w:rPr>
          <w:rFonts w:eastAsia="Times New Roman" w:hint="cs"/>
          <w:sz w:val="26"/>
          <w:szCs w:val="26"/>
          <w:rtl/>
        </w:rPr>
        <w:t>ייע בה לייעוד הכספים. רשימה כאמור, תאפשר את ייעול הליכי הקצאת הכספים, ולאפשר איגום כספים בכדי להשיא את ערך ההקצאה</w:t>
      </w:r>
      <w:r>
        <w:rPr>
          <w:rFonts w:eastAsia="Times New Roman" w:hint="cs"/>
          <w:sz w:val="26"/>
          <w:szCs w:val="26"/>
          <w:rtl/>
        </w:rPr>
        <w:t>.</w:t>
      </w:r>
    </w:p>
    <w:p w14:paraId="7E874800" w14:textId="2801C0C6" w:rsidR="007B73D6" w:rsidRDefault="007B73D6" w:rsidP="000D73A5">
      <w:pPr>
        <w:tabs>
          <w:tab w:val="left" w:pos="1020"/>
        </w:tabs>
        <w:autoSpaceDE w:val="0"/>
        <w:autoSpaceDN w:val="0"/>
        <w:adjustRightInd w:val="0"/>
        <w:snapToGrid w:val="0"/>
        <w:ind w:left="0"/>
        <w:contextualSpacing w:val="0"/>
        <w:textAlignment w:val="center"/>
        <w:rPr>
          <w:rFonts w:eastAsia="Times New Roman"/>
          <w:sz w:val="26"/>
          <w:szCs w:val="26"/>
          <w:rtl/>
        </w:rPr>
      </w:pPr>
      <w:r w:rsidRPr="007B73D6">
        <w:rPr>
          <w:rFonts w:eastAsia="Times New Roman" w:hint="cs"/>
          <w:sz w:val="26"/>
          <w:szCs w:val="26"/>
          <w:rtl/>
        </w:rPr>
        <w:t>בנוסף, מוצע להסתפק בפרסום הדו"ח השנתי של הקרן באתר האינטרנט, מבלי להידרש לפרסום ברשומות</w:t>
      </w:r>
      <w:r>
        <w:rPr>
          <w:rFonts w:eastAsia="Times New Roman" w:hint="cs"/>
          <w:sz w:val="26"/>
          <w:szCs w:val="26"/>
          <w:rtl/>
        </w:rPr>
        <w:t>.</w:t>
      </w:r>
    </w:p>
    <w:p w14:paraId="7A0D9537" w14:textId="77777777" w:rsidR="00B311C8" w:rsidRDefault="00B311C8" w:rsidP="00B311C8">
      <w:pPr>
        <w:tabs>
          <w:tab w:val="left" w:pos="1020"/>
        </w:tabs>
        <w:autoSpaceDE w:val="0"/>
        <w:autoSpaceDN w:val="0"/>
        <w:adjustRightInd w:val="0"/>
        <w:snapToGrid w:val="0"/>
        <w:ind w:left="0"/>
        <w:contextualSpacing w:val="0"/>
        <w:textAlignment w:val="center"/>
        <w:rPr>
          <w:rFonts w:eastAsia="Times New Roman"/>
          <w:sz w:val="26"/>
          <w:szCs w:val="26"/>
          <w:rtl/>
        </w:rPr>
      </w:pPr>
    </w:p>
    <w:p w14:paraId="3E841AFB" w14:textId="03E16C8A" w:rsidR="004553A1" w:rsidRPr="00B311C8" w:rsidRDefault="001D6325" w:rsidP="00B311C8">
      <w:pPr>
        <w:tabs>
          <w:tab w:val="left" w:pos="1020"/>
        </w:tabs>
        <w:autoSpaceDE w:val="0"/>
        <w:autoSpaceDN w:val="0"/>
        <w:adjustRightInd w:val="0"/>
        <w:snapToGrid w:val="0"/>
        <w:ind w:left="0"/>
        <w:contextualSpacing w:val="0"/>
        <w:textAlignment w:val="center"/>
        <w:rPr>
          <w:rFonts w:eastAsia="Times New Roman"/>
          <w:sz w:val="26"/>
          <w:szCs w:val="26"/>
          <w:rtl/>
        </w:rPr>
      </w:pPr>
      <w:r w:rsidRPr="006B4C3D">
        <w:rPr>
          <w:rFonts w:hint="cs"/>
          <w:b/>
          <w:bCs/>
          <w:sz w:val="26"/>
          <w:szCs w:val="26"/>
          <w:rtl/>
        </w:rPr>
        <w:t>סעיף</w:t>
      </w:r>
      <w:r w:rsidRPr="006B4C3D">
        <w:rPr>
          <w:rFonts w:hint="cs"/>
          <w:b/>
          <w:bCs/>
          <w:color w:val="000000"/>
          <w:sz w:val="26"/>
          <w:szCs w:val="26"/>
          <w:rtl/>
        </w:rPr>
        <w:t xml:space="preserve"> </w:t>
      </w:r>
      <w:r w:rsidR="00D737C3" w:rsidRPr="006B4C3D">
        <w:rPr>
          <w:rFonts w:hint="cs"/>
          <w:b/>
          <w:bCs/>
          <w:color w:val="000000"/>
          <w:sz w:val="26"/>
          <w:szCs w:val="26"/>
          <w:rtl/>
        </w:rPr>
        <w:t>1</w:t>
      </w:r>
      <w:r w:rsidR="00D737C3">
        <w:rPr>
          <w:rFonts w:hint="cs"/>
          <w:b/>
          <w:bCs/>
          <w:color w:val="000000"/>
          <w:sz w:val="26"/>
          <w:szCs w:val="26"/>
          <w:rtl/>
        </w:rPr>
        <w:t>5</w:t>
      </w:r>
    </w:p>
    <w:p w14:paraId="5B64A3A9" w14:textId="77777777"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כאמור לעיל, סעיף 21 לחוק תובענות ייצוגיות שחל במקרה שבו הרשות לא הודיעה על חדילה מגביית הכספים לפי סעיף 9 לחוק זה, קובע כי בית המשפט לא יחייב את הרשות בהשבה לגבי תקופה העולה על 24 </w:t>
      </w:r>
      <w:r w:rsidRPr="006B4C3D">
        <w:rPr>
          <w:rFonts w:eastAsia="Times New Roman"/>
          <w:sz w:val="26"/>
          <w:szCs w:val="26"/>
          <w:rtl/>
        </w:rPr>
        <w:t>החודשים</w:t>
      </w:r>
      <w:r w:rsidRPr="0044553B">
        <w:rPr>
          <w:sz w:val="26"/>
          <w:szCs w:val="26"/>
          <w:rtl/>
        </w:rPr>
        <w:t xml:space="preserve"> שקדמו למועד שבו הוגשה הבקשה לאישור התובענה הייצוגית. עם השנים התעוררה בפסיקה שאלה בנוגע לפרשנות סעיף 21 לחוק והתעוררו ספקות בשאלה כיצד לפרשו והאם הסעיף שולל את חיוב הרשות בהשבה כאשר הרשות המשיכה לגבות את הכספים בתקופה שלאחר מועד הגשת בקשת האישור.</w:t>
      </w:r>
    </w:p>
    <w:p w14:paraId="3EE764C2" w14:textId="43FF8B70"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ביום כ"ד בחשון </w:t>
      </w:r>
      <w:proofErr w:type="spellStart"/>
      <w:r w:rsidRPr="0044553B">
        <w:rPr>
          <w:sz w:val="26"/>
          <w:szCs w:val="26"/>
          <w:rtl/>
        </w:rPr>
        <w:t>התשפ"א</w:t>
      </w:r>
      <w:proofErr w:type="spellEnd"/>
      <w:r w:rsidRPr="0044553B">
        <w:rPr>
          <w:sz w:val="26"/>
          <w:szCs w:val="26"/>
          <w:rtl/>
        </w:rPr>
        <w:t xml:space="preserve"> (11 בנובמבר 2020) ניתן פסק הדין בדיון הנוסף בעניין </w:t>
      </w:r>
      <w:proofErr w:type="spellStart"/>
      <w:r w:rsidRPr="0044553B">
        <w:rPr>
          <w:sz w:val="26"/>
          <w:szCs w:val="26"/>
          <w:rtl/>
        </w:rPr>
        <w:t>מנירב</w:t>
      </w:r>
      <w:proofErr w:type="spellEnd"/>
      <w:r w:rsidRPr="0044553B">
        <w:rPr>
          <w:sz w:val="26"/>
          <w:szCs w:val="26"/>
          <w:rtl/>
        </w:rPr>
        <w:t xml:space="preserve"> (</w:t>
      </w:r>
      <w:proofErr w:type="spellStart"/>
      <w:r w:rsidRPr="0044553B">
        <w:rPr>
          <w:sz w:val="26"/>
          <w:szCs w:val="26"/>
          <w:rtl/>
        </w:rPr>
        <w:t>דנ"מ</w:t>
      </w:r>
      <w:proofErr w:type="spellEnd"/>
      <w:r w:rsidRPr="0044553B">
        <w:rPr>
          <w:sz w:val="26"/>
          <w:szCs w:val="26"/>
          <w:rtl/>
        </w:rPr>
        <w:t xml:space="preserve"> 8626/17 </w:t>
      </w:r>
      <w:proofErr w:type="spellStart"/>
      <w:r w:rsidRPr="0044553B">
        <w:rPr>
          <w:sz w:val="26"/>
          <w:szCs w:val="26"/>
          <w:rtl/>
        </w:rPr>
        <w:t>מנירב</w:t>
      </w:r>
      <w:proofErr w:type="spellEnd"/>
      <w:r w:rsidRPr="0044553B">
        <w:rPr>
          <w:sz w:val="26"/>
          <w:szCs w:val="26"/>
          <w:rtl/>
        </w:rPr>
        <w:t xml:space="preserve"> נ' רשות </w:t>
      </w:r>
      <w:proofErr w:type="spellStart"/>
      <w:r w:rsidRPr="0044553B">
        <w:rPr>
          <w:sz w:val="26"/>
          <w:szCs w:val="26"/>
          <w:rtl/>
        </w:rPr>
        <w:t>המסים</w:t>
      </w:r>
      <w:proofErr w:type="spellEnd"/>
      <w:r w:rsidRPr="0044553B">
        <w:rPr>
          <w:sz w:val="26"/>
          <w:szCs w:val="26"/>
          <w:rtl/>
        </w:rPr>
        <w:t xml:space="preserve"> (</w:t>
      </w:r>
      <w:r w:rsidR="0024017C">
        <w:rPr>
          <w:rFonts w:hint="cs"/>
          <w:sz w:val="26"/>
          <w:szCs w:val="26"/>
          <w:rtl/>
        </w:rPr>
        <w:t xml:space="preserve">פורסם </w:t>
      </w:r>
      <w:proofErr w:type="spellStart"/>
      <w:r w:rsidR="0024017C">
        <w:rPr>
          <w:rFonts w:hint="cs"/>
          <w:sz w:val="26"/>
          <w:szCs w:val="26"/>
          <w:rtl/>
        </w:rPr>
        <w:t>באר</w:t>
      </w:r>
      <w:r w:rsidR="0024017C">
        <w:rPr>
          <w:sz w:val="26"/>
          <w:szCs w:val="26"/>
          <w:rtl/>
        </w:rPr>
        <w:t>"</w:t>
      </w:r>
      <w:r w:rsidR="0024017C">
        <w:rPr>
          <w:rFonts w:hint="cs"/>
          <w:sz w:val="26"/>
          <w:szCs w:val="26"/>
          <w:rtl/>
        </w:rPr>
        <w:t>ש</w:t>
      </w:r>
      <w:proofErr w:type="spellEnd"/>
      <w:r w:rsidR="0024017C">
        <w:rPr>
          <w:rFonts w:hint="cs"/>
          <w:sz w:val="26"/>
          <w:szCs w:val="26"/>
          <w:rtl/>
        </w:rPr>
        <w:t>,</w:t>
      </w:r>
      <w:r w:rsidRPr="0044553B">
        <w:rPr>
          <w:sz w:val="26"/>
          <w:szCs w:val="26"/>
          <w:rtl/>
        </w:rPr>
        <w:t xml:space="preserve"> 11.11.2020)) שם נקבע, בניגוד לפסק הדין מושא הדיון הנוסף, כי סעיף 21 לחוק תובענות ייצוגיות מציב את הגבול התחתון של תקופת ההשבה אך אינו מתיימר לצמצם את גבולה העליון כך שהסעיף אינו שולל חיוב בהשבה ביחס לתקופה שלאחר הגשת בקשת האישור. משכך, יחולו לגבי התקופה שלאחר בקשת האישור, ההוראות הכלליות של חוק תובענות </w:t>
      </w:r>
      <w:r w:rsidRPr="006B4C3D">
        <w:rPr>
          <w:rFonts w:eastAsia="Times New Roman"/>
          <w:sz w:val="26"/>
          <w:szCs w:val="26"/>
          <w:rtl/>
        </w:rPr>
        <w:t>ייצוגיות</w:t>
      </w:r>
      <w:r w:rsidRPr="0044553B">
        <w:rPr>
          <w:sz w:val="26"/>
          <w:szCs w:val="26"/>
          <w:rtl/>
        </w:rPr>
        <w:t>, בנוגע להרחבת הקבוצה ובית המשפט יוכל לכלול בקבוצה, לפי שיקול דעתו, גם מי שעילת התביעה שלהם נולדה לאחר הגשת בקשת האישור – ובנסיבות חריגות, אף לאחר אישור התובענה, בהתאם לסעיף 10 לחוק תובענות ייצוגיות.</w:t>
      </w:r>
    </w:p>
    <w:p w14:paraId="4E114290" w14:textId="77777777"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קביעה זו של בית המשפט העליון מותירה את הרשות חשופה לתקופת השבה ארוכה התלויה בקצב ההתנהלות של הליך אישור התובענה הייצוגית ובכך יכולה להוביל לפגיעה בקופה הציבורית ולציבור שנזקק </w:t>
      </w:r>
      <w:r w:rsidRPr="006B4C3D">
        <w:rPr>
          <w:rFonts w:eastAsia="Times New Roman"/>
          <w:sz w:val="26"/>
          <w:szCs w:val="26"/>
          <w:rtl/>
        </w:rPr>
        <w:t>לשירותיה</w:t>
      </w:r>
      <w:r w:rsidRPr="0044553B">
        <w:rPr>
          <w:sz w:val="26"/>
          <w:szCs w:val="26"/>
          <w:rtl/>
        </w:rPr>
        <w:t xml:space="preserve">. בהקשר זה יצוין גם כי תכליתה המרכזית של התביעה נגד רשות, לאור מאפייניה הייחודים, אינה מתמקדת בהשבת כספים שנגבו שלא כדין, אלא באכיפת הדין מכאן ולהבא, כך שהרשות תפעל כדין (ראו למשל בעניין רע"א 6340/07 עיריית תל אביב נ' חגי </w:t>
      </w:r>
      <w:proofErr w:type="spellStart"/>
      <w:r w:rsidRPr="0044553B">
        <w:rPr>
          <w:sz w:val="26"/>
          <w:szCs w:val="26"/>
          <w:rtl/>
        </w:rPr>
        <w:t>טיומקין</w:t>
      </w:r>
      <w:proofErr w:type="spellEnd"/>
      <w:r w:rsidRPr="0044553B">
        <w:rPr>
          <w:sz w:val="26"/>
          <w:szCs w:val="26"/>
          <w:rtl/>
        </w:rPr>
        <w:t xml:space="preserve">, פסקאות 24-25 לפסק דינה של הנשיאה חיות (פורסם </w:t>
      </w:r>
      <w:proofErr w:type="spellStart"/>
      <w:r w:rsidRPr="0044553B">
        <w:rPr>
          <w:sz w:val="26"/>
          <w:szCs w:val="26"/>
          <w:rtl/>
        </w:rPr>
        <w:t>באר"ש</w:t>
      </w:r>
      <w:proofErr w:type="spellEnd"/>
      <w:r w:rsidRPr="0044553B">
        <w:rPr>
          <w:sz w:val="26"/>
          <w:szCs w:val="26"/>
          <w:rtl/>
        </w:rPr>
        <w:t xml:space="preserve">, 13.02.2011), בר"מ 6878/17 עיריית ראשון לציון נ' נחום (פורסם </w:t>
      </w:r>
      <w:proofErr w:type="spellStart"/>
      <w:r w:rsidRPr="0044553B">
        <w:rPr>
          <w:sz w:val="26"/>
          <w:szCs w:val="26"/>
          <w:rtl/>
        </w:rPr>
        <w:lastRenderedPageBreak/>
        <w:t>באר"ש</w:t>
      </w:r>
      <w:proofErr w:type="spellEnd"/>
      <w:r w:rsidRPr="0044553B">
        <w:rPr>
          <w:sz w:val="26"/>
          <w:szCs w:val="26"/>
          <w:rtl/>
        </w:rPr>
        <w:t>, 6.5.2020))</w:t>
      </w:r>
    </w:p>
    <w:p w14:paraId="07337139" w14:textId="71968493"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לאור שיקולים תקציביים ומתוך הבנה שפגיעה בקופה הציבורית מהווה למעשה פגיעה ביכולת הרשות למלא את תפקידיה הציבוריים כיאות, מוצע לתקן את חוק תובענות ייצוגיות ולקבוע שתקופת ההשבה תהיה מוגבלת ל- 24 החודשים שקדמו להגשת בקשת האישור בלבד ולא תכלול השבה לגבי סכומים שנגבו במועד מאוחר יותר אלא אם כן הבקשה אושרה כייצוגית והרשות לא הפסיקה את הגבייה כמפורט להלן. בהתאם למנגנון המוצע, הרשות תהיה רשאית להודיע בתוך 60 ימים מיום שהומצאה אליה ההחלטה המאשרת את התובענה כייצוגית (שהוא גם המועד הקבוע להגשת בקשת רשות ערעור לפי תקנה 137(א) לתקנות סדר הדין האזרחי, התשע"ט-2018) האם היא מפסיקה את הגביה שבשלה הוגשה הבקשה לאישור. אם הרשות לא הודיעה בתוך מועד זה כי הפסיקה את הגביה שבשלה הוגשה הבקשה לאישור, רשאי בית המשפט לחייב את הרשות בנוסף לתקופת ההשבה המוקדמת, גם בהשבה החל ממועד אישור התובענה הייצוגית. עם זאת, הרשות לא תחויב בהשבה על תקופה קודמת למועד זה. כלומר, הרשות לא </w:t>
      </w:r>
      <w:proofErr w:type="spellStart"/>
      <w:r w:rsidRPr="0044553B">
        <w:rPr>
          <w:sz w:val="26"/>
          <w:szCs w:val="26"/>
          <w:rtl/>
        </w:rPr>
        <w:t>תחוייב</w:t>
      </w:r>
      <w:proofErr w:type="spellEnd"/>
      <w:r w:rsidRPr="0044553B">
        <w:rPr>
          <w:sz w:val="26"/>
          <w:szCs w:val="26"/>
          <w:rtl/>
        </w:rPr>
        <w:t xml:space="preserve"> בהשבה בתקופה שבין הגשת הבקשה לאישור ועד אישור התביעה הייצוגית. </w:t>
      </w:r>
    </w:p>
    <w:p w14:paraId="5B8B4231" w14:textId="7B5DAC44"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עוד מוצע </w:t>
      </w:r>
      <w:r w:rsidRPr="006B4C3D">
        <w:rPr>
          <w:rFonts w:eastAsia="Times New Roman"/>
          <w:sz w:val="26"/>
          <w:szCs w:val="26"/>
          <w:rtl/>
        </w:rPr>
        <w:t>לקבוע</w:t>
      </w:r>
      <w:r w:rsidRPr="0044553B">
        <w:rPr>
          <w:sz w:val="26"/>
          <w:szCs w:val="26"/>
          <w:rtl/>
        </w:rPr>
        <w:t xml:space="preserve"> הוראות מיוחדות לעניין הגדרת הקבוצה, כך שבקבוצה ייכללו רק מי שמהם גבתה הרשות סכומים שלא כדין, במהלך השנתיים שקדמו למועד הגשת הבקשה לאישור התובענה. בנוסף</w:t>
      </w:r>
      <w:r w:rsidR="00015C81">
        <w:rPr>
          <w:rFonts w:hint="cs"/>
          <w:sz w:val="26"/>
          <w:szCs w:val="26"/>
          <w:rtl/>
        </w:rPr>
        <w:t>,</w:t>
      </w:r>
      <w:r w:rsidRPr="0044553B">
        <w:rPr>
          <w:sz w:val="26"/>
          <w:szCs w:val="26"/>
          <w:rtl/>
        </w:rPr>
        <w:t xml:space="preserve"> אם הרשות המשיכה לגבות סכומים לאחר 60 ימים ממועד אישור התובענה, יצרף בית המשפט לקבוצה גם את מי שממנו נגבו הסכומים מרגע אישור התובענה ועד מועד הפסקת הגבייה.</w:t>
      </w:r>
    </w:p>
    <w:p w14:paraId="08772B45" w14:textId="3668ED72" w:rsidR="0044553B" w:rsidRPr="0044553B"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כמו כן, מוצע לקבוע כי לא ניתן יהיה להגיש תובענה ייצוגית נוספת נגד רשות באותה עילה</w:t>
      </w:r>
      <w:r w:rsidR="00015C81">
        <w:rPr>
          <w:rFonts w:hint="cs"/>
          <w:sz w:val="26"/>
          <w:szCs w:val="26"/>
          <w:rtl/>
        </w:rPr>
        <w:t>.</w:t>
      </w:r>
      <w:r w:rsidRPr="0044553B">
        <w:rPr>
          <w:sz w:val="26"/>
          <w:szCs w:val="26"/>
          <w:rtl/>
        </w:rPr>
        <w:t xml:space="preserve"> מי שמעוניין לקבל </w:t>
      </w:r>
      <w:r w:rsidRPr="006B4C3D">
        <w:rPr>
          <w:rFonts w:eastAsia="Times New Roman"/>
          <w:sz w:val="26"/>
          <w:szCs w:val="26"/>
          <w:rtl/>
        </w:rPr>
        <w:t>סעד</w:t>
      </w:r>
      <w:r w:rsidRPr="0044553B">
        <w:rPr>
          <w:sz w:val="26"/>
          <w:szCs w:val="26"/>
          <w:rtl/>
        </w:rPr>
        <w:t xml:space="preserve"> עבור תקופות נוספות מעבר לתקופה שבה נקבע בסעיף המוצע כי יושבו הכספים, יוכל להגיש תביעה אישית בלבד. </w:t>
      </w:r>
    </w:p>
    <w:p w14:paraId="5EC3A4E5" w14:textId="292DA12E" w:rsidR="0044553B" w:rsidRPr="0044553B" w:rsidRDefault="00015C81" w:rsidP="006B4C3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יובהר</w:t>
      </w:r>
      <w:r w:rsidR="0044553B" w:rsidRPr="0044553B">
        <w:rPr>
          <w:sz w:val="26"/>
          <w:szCs w:val="26"/>
          <w:rtl/>
        </w:rPr>
        <w:t xml:space="preserve"> כי לא נשללת האפשרות של התובע לקיים הליכים </w:t>
      </w:r>
      <w:proofErr w:type="spellStart"/>
      <w:r w:rsidR="0044553B" w:rsidRPr="0044553B">
        <w:rPr>
          <w:sz w:val="26"/>
          <w:szCs w:val="26"/>
          <w:rtl/>
        </w:rPr>
        <w:t>מינהליים</w:t>
      </w:r>
      <w:proofErr w:type="spellEnd"/>
      <w:r w:rsidR="0044553B" w:rsidRPr="0044553B">
        <w:rPr>
          <w:sz w:val="26"/>
          <w:szCs w:val="26"/>
          <w:rtl/>
        </w:rPr>
        <w:t xml:space="preserve"> </w:t>
      </w:r>
      <w:r>
        <w:rPr>
          <w:rFonts w:hint="cs"/>
          <w:sz w:val="26"/>
          <w:szCs w:val="26"/>
          <w:rtl/>
        </w:rPr>
        <w:t xml:space="preserve">, </w:t>
      </w:r>
      <w:r w:rsidR="0044553B" w:rsidRPr="0044553B">
        <w:rPr>
          <w:sz w:val="26"/>
          <w:szCs w:val="26"/>
          <w:rtl/>
        </w:rPr>
        <w:t xml:space="preserve">אם ניתן לעשות כן לפי כל דין, ובנוסף לבקש סעד עבור תקופות נוספות בתביעה אישית. </w:t>
      </w:r>
    </w:p>
    <w:p w14:paraId="2D517394" w14:textId="707C6219" w:rsidR="0075332F" w:rsidRDefault="0044553B" w:rsidP="006B4C3D">
      <w:pPr>
        <w:tabs>
          <w:tab w:val="left" w:pos="1020"/>
        </w:tabs>
        <w:autoSpaceDE w:val="0"/>
        <w:autoSpaceDN w:val="0"/>
        <w:adjustRightInd w:val="0"/>
        <w:snapToGrid w:val="0"/>
        <w:ind w:left="0"/>
        <w:contextualSpacing w:val="0"/>
        <w:textAlignment w:val="center"/>
        <w:rPr>
          <w:sz w:val="26"/>
          <w:szCs w:val="26"/>
          <w:rtl/>
        </w:rPr>
      </w:pPr>
      <w:r w:rsidRPr="0044553B">
        <w:rPr>
          <w:sz w:val="26"/>
          <w:szCs w:val="26"/>
          <w:rtl/>
        </w:rPr>
        <w:t xml:space="preserve">כמו כן מוצע בסעיף 21(ה) המוצע, כי הגבלת סעד ההשבה כאמור לעיל, תחול גם על רשות מקרקעי ישראל בתביעה לפי פרט 15, תאגידי המים והביוב ועל </w:t>
      </w:r>
      <w:r w:rsidRPr="00545933">
        <w:rPr>
          <w:sz w:val="26"/>
          <w:szCs w:val="26"/>
          <w:rtl/>
        </w:rPr>
        <w:t xml:space="preserve">קופות החולים (במסגרת פעילותן לפי סל </w:t>
      </w:r>
      <w:r w:rsidRPr="00545933">
        <w:rPr>
          <w:rFonts w:eastAsia="Times New Roman"/>
          <w:sz w:val="26"/>
          <w:szCs w:val="26"/>
          <w:rtl/>
        </w:rPr>
        <w:t>הבריאות</w:t>
      </w:r>
      <w:r w:rsidRPr="00545933">
        <w:rPr>
          <w:sz w:val="26"/>
          <w:szCs w:val="26"/>
          <w:rtl/>
        </w:rPr>
        <w:t xml:space="preserve">), שאותם מוצע להוסיף לחוק בפרטים 16 ו- 17 לתוספת </w:t>
      </w:r>
      <w:proofErr w:type="spellStart"/>
      <w:r w:rsidRPr="00545933">
        <w:rPr>
          <w:sz w:val="26"/>
          <w:szCs w:val="26"/>
          <w:rtl/>
        </w:rPr>
        <w:t>השניה</w:t>
      </w:r>
      <w:proofErr w:type="spellEnd"/>
      <w:r w:rsidRPr="00545933">
        <w:rPr>
          <w:sz w:val="26"/>
          <w:szCs w:val="26"/>
          <w:rtl/>
        </w:rPr>
        <w:t>. החלת הגנה על גופים אלה מוצעת בנוסף להחלת הגנה החדילה עליהם כאמור בסעיף 9(ד) המוצע</w:t>
      </w:r>
      <w:r w:rsidRPr="00545933">
        <w:rPr>
          <w:rFonts w:hint="cs"/>
          <w:sz w:val="26"/>
          <w:szCs w:val="26"/>
          <w:rtl/>
        </w:rPr>
        <w:t xml:space="preserve"> בסעיף </w:t>
      </w:r>
      <w:r w:rsidR="00D737C3" w:rsidRPr="00545933">
        <w:rPr>
          <w:rFonts w:hint="cs"/>
          <w:sz w:val="26"/>
          <w:szCs w:val="26"/>
          <w:rtl/>
        </w:rPr>
        <w:t xml:space="preserve">9 </w:t>
      </w:r>
      <w:r w:rsidR="000B7A40" w:rsidRPr="00545933">
        <w:rPr>
          <w:rFonts w:hint="cs"/>
          <w:sz w:val="26"/>
          <w:szCs w:val="26"/>
          <w:rtl/>
        </w:rPr>
        <w:t>לתזכיר</w:t>
      </w:r>
      <w:r w:rsidRPr="00545933">
        <w:rPr>
          <w:sz w:val="26"/>
          <w:szCs w:val="26"/>
          <w:rtl/>
        </w:rPr>
        <w:t>.</w:t>
      </w:r>
      <w:r w:rsidRPr="0044553B">
        <w:rPr>
          <w:sz w:val="26"/>
          <w:szCs w:val="26"/>
          <w:rtl/>
        </w:rPr>
        <w:t xml:space="preserve">  </w:t>
      </w:r>
    </w:p>
    <w:p w14:paraId="2A74C801" w14:textId="77777777" w:rsidR="0075332F" w:rsidRDefault="0075332F" w:rsidP="0075332F">
      <w:pPr>
        <w:spacing w:after="120"/>
        <w:rPr>
          <w:sz w:val="26"/>
          <w:szCs w:val="26"/>
          <w:rtl/>
        </w:rPr>
      </w:pPr>
    </w:p>
    <w:p w14:paraId="547A2CB8" w14:textId="02EDAB58" w:rsidR="00D802DD" w:rsidRDefault="006E44D1" w:rsidP="006B4C3D">
      <w:pPr>
        <w:tabs>
          <w:tab w:val="left" w:pos="1020"/>
        </w:tabs>
        <w:autoSpaceDE w:val="0"/>
        <w:autoSpaceDN w:val="0"/>
        <w:adjustRightInd w:val="0"/>
        <w:snapToGrid w:val="0"/>
        <w:ind w:left="0"/>
        <w:contextualSpacing w:val="0"/>
        <w:textAlignment w:val="center"/>
        <w:rPr>
          <w:b/>
          <w:bCs/>
          <w:sz w:val="26"/>
          <w:szCs w:val="26"/>
          <w:rtl/>
        </w:rPr>
      </w:pPr>
      <w:r>
        <w:rPr>
          <w:rFonts w:hint="cs"/>
          <w:b/>
          <w:bCs/>
          <w:sz w:val="26"/>
          <w:szCs w:val="26"/>
          <w:rtl/>
        </w:rPr>
        <w:t>סעיפים</w:t>
      </w:r>
      <w:r w:rsidR="00341A6B">
        <w:rPr>
          <w:rFonts w:hint="cs"/>
          <w:b/>
          <w:bCs/>
          <w:sz w:val="26"/>
          <w:szCs w:val="26"/>
          <w:rtl/>
        </w:rPr>
        <w:t xml:space="preserve"> </w:t>
      </w:r>
      <w:r w:rsidR="00D737C3">
        <w:rPr>
          <w:rFonts w:hint="cs"/>
          <w:b/>
          <w:bCs/>
          <w:sz w:val="26"/>
          <w:szCs w:val="26"/>
          <w:rtl/>
        </w:rPr>
        <w:t>13</w:t>
      </w:r>
      <w:r w:rsidR="00341A6B">
        <w:rPr>
          <w:rFonts w:hint="cs"/>
          <w:b/>
          <w:bCs/>
          <w:sz w:val="26"/>
          <w:szCs w:val="26"/>
          <w:rtl/>
        </w:rPr>
        <w:t>,</w:t>
      </w:r>
      <w:r>
        <w:rPr>
          <w:rFonts w:hint="cs"/>
          <w:b/>
          <w:bCs/>
          <w:sz w:val="26"/>
          <w:szCs w:val="26"/>
          <w:rtl/>
        </w:rPr>
        <w:t xml:space="preserve"> </w:t>
      </w:r>
      <w:r w:rsidR="00D737C3">
        <w:rPr>
          <w:rFonts w:hint="cs"/>
          <w:b/>
          <w:bCs/>
          <w:sz w:val="26"/>
          <w:szCs w:val="26"/>
          <w:rtl/>
        </w:rPr>
        <w:t>16</w:t>
      </w:r>
      <w:r w:rsidR="008546EA">
        <w:rPr>
          <w:rFonts w:hint="cs"/>
          <w:b/>
          <w:bCs/>
          <w:sz w:val="26"/>
          <w:szCs w:val="26"/>
          <w:rtl/>
        </w:rPr>
        <w:t xml:space="preserve">, </w:t>
      </w:r>
      <w:r w:rsidR="00D737C3">
        <w:rPr>
          <w:rFonts w:hint="cs"/>
          <w:b/>
          <w:bCs/>
          <w:sz w:val="26"/>
          <w:szCs w:val="26"/>
          <w:rtl/>
        </w:rPr>
        <w:t>17</w:t>
      </w:r>
      <w:r w:rsidR="00D802DD">
        <w:rPr>
          <w:rFonts w:hint="cs"/>
          <w:b/>
          <w:bCs/>
          <w:sz w:val="26"/>
          <w:szCs w:val="26"/>
          <w:rtl/>
        </w:rPr>
        <w:t xml:space="preserve">, </w:t>
      </w:r>
      <w:r w:rsidR="00C655D1">
        <w:rPr>
          <w:rFonts w:hint="cs"/>
          <w:b/>
          <w:bCs/>
          <w:sz w:val="26"/>
          <w:szCs w:val="26"/>
          <w:rtl/>
        </w:rPr>
        <w:t>25</w:t>
      </w:r>
      <w:r w:rsidR="00D737C3">
        <w:rPr>
          <w:rFonts w:hint="cs"/>
          <w:b/>
          <w:bCs/>
          <w:sz w:val="26"/>
          <w:szCs w:val="26"/>
          <w:rtl/>
        </w:rPr>
        <w:t xml:space="preserve"> </w:t>
      </w:r>
      <w:r w:rsidR="00D802DD">
        <w:rPr>
          <w:rFonts w:hint="cs"/>
          <w:b/>
          <w:bCs/>
          <w:sz w:val="26"/>
          <w:szCs w:val="26"/>
          <w:rtl/>
        </w:rPr>
        <w:t>(התוספת החמישית)</w:t>
      </w:r>
    </w:p>
    <w:p w14:paraId="0F1BB9C2" w14:textId="768D9DF3" w:rsidR="00B20C53" w:rsidRDefault="00B20C53" w:rsidP="006B4C3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מוצע להסדיר את מנגנון הגמול ושכר הטרחה בתובענות ייצוגיות וזאת לצורך הבניה </w:t>
      </w:r>
      <w:proofErr w:type="spellStart"/>
      <w:r>
        <w:rPr>
          <w:rFonts w:hint="cs"/>
          <w:sz w:val="26"/>
          <w:szCs w:val="26"/>
          <w:rtl/>
        </w:rPr>
        <w:t>מיטיבית</w:t>
      </w:r>
      <w:proofErr w:type="spellEnd"/>
      <w:r>
        <w:rPr>
          <w:rFonts w:hint="cs"/>
          <w:sz w:val="26"/>
          <w:szCs w:val="26"/>
          <w:rtl/>
        </w:rPr>
        <w:t xml:space="preserve"> של ההליך הייצוגי. </w:t>
      </w:r>
      <w:r w:rsidR="003B5AFC">
        <w:rPr>
          <w:rFonts w:hint="cs"/>
          <w:sz w:val="26"/>
          <w:szCs w:val="26"/>
          <w:rtl/>
        </w:rPr>
        <w:t xml:space="preserve">חוק תובענות ייצוגיות מבוסס על מערך תמריצים כלכליים על מנת לעודד הגשת תובענות ייצוגיות ולצורך הגשמת המטרות העומדות בבסיס ההליך. </w:t>
      </w:r>
      <w:r>
        <w:rPr>
          <w:rFonts w:hint="cs"/>
          <w:sz w:val="26"/>
          <w:szCs w:val="26"/>
          <w:rtl/>
        </w:rPr>
        <w:t xml:space="preserve">מכאן נובעת </w:t>
      </w:r>
      <w:r w:rsidRPr="006B4C3D">
        <w:rPr>
          <w:rFonts w:eastAsia="Times New Roman" w:hint="cs"/>
          <w:sz w:val="26"/>
          <w:szCs w:val="26"/>
          <w:rtl/>
        </w:rPr>
        <w:t>החשיבות</w:t>
      </w:r>
      <w:r>
        <w:rPr>
          <w:rFonts w:hint="cs"/>
          <w:sz w:val="26"/>
          <w:szCs w:val="26"/>
          <w:rtl/>
        </w:rPr>
        <w:t xml:space="preserve"> בעיצוב נכון של מנגנון הגמול ושכר הטרחה ובפיקוח עליהם.</w:t>
      </w:r>
    </w:p>
    <w:p w14:paraId="6AA770A7" w14:textId="77777777" w:rsidR="00692FC1" w:rsidRDefault="00AF7791" w:rsidP="006B4C3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המחוקק שהיה ער לקשיים אלו בעת חקיקת החוק קבע בסעיפים 22 ו-23 כי בית המשפט הוא שיקבע את הגמול ושכר הטרחה בהליך</w:t>
      </w:r>
      <w:r w:rsidR="0081673D">
        <w:rPr>
          <w:rFonts w:hint="cs"/>
          <w:sz w:val="26"/>
          <w:szCs w:val="26"/>
          <w:rtl/>
        </w:rPr>
        <w:t>.</w:t>
      </w:r>
      <w:r>
        <w:rPr>
          <w:rFonts w:hint="cs"/>
          <w:sz w:val="26"/>
          <w:szCs w:val="26"/>
          <w:rtl/>
        </w:rPr>
        <w:t xml:space="preserve"> בנוסף, גם בכל הנוגע להסדרי פשרה, נקבע </w:t>
      </w:r>
      <w:r w:rsidRPr="0081148B">
        <w:rPr>
          <w:rFonts w:hint="cs"/>
          <w:sz w:val="26"/>
          <w:szCs w:val="26"/>
          <w:rtl/>
        </w:rPr>
        <w:t>בסעיף 18(ז)(2) לחוק כי הצדדים אינם רשאים לכלול בהסדר הפשרה הוראה בדבר תשלום גמול ושכר טרחה, אך נקבע כי הם רשאים להגיש לבית המשפט המלצה בעניין גובה הגמול ושכר הטרחה. המלצה זו אינה מחייבת את בית המשפט, שסוגיית שכר הטרחה והגמול נתונה לסמכותו הבלעדי</w:t>
      </w:r>
      <w:r>
        <w:rPr>
          <w:rFonts w:hint="cs"/>
          <w:sz w:val="26"/>
          <w:szCs w:val="26"/>
          <w:rtl/>
        </w:rPr>
        <w:t>ת כאמור.</w:t>
      </w:r>
      <w:r w:rsidRPr="0081148B">
        <w:rPr>
          <w:rFonts w:hint="cs"/>
          <w:sz w:val="26"/>
          <w:szCs w:val="26"/>
          <w:rtl/>
        </w:rPr>
        <w:t xml:space="preserve"> </w:t>
      </w:r>
    </w:p>
    <w:p w14:paraId="7C5C74FD" w14:textId="3630011C" w:rsidR="00DF502A" w:rsidRPr="00C70BD1" w:rsidRDefault="00AF7791" w:rsidP="006B4C3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lastRenderedPageBreak/>
        <w:t xml:space="preserve">עם זאת, בפועל </w:t>
      </w:r>
      <w:r w:rsidR="005B6991">
        <w:rPr>
          <w:rFonts w:hint="cs"/>
          <w:sz w:val="26"/>
          <w:szCs w:val="26"/>
          <w:rtl/>
        </w:rPr>
        <w:t>כמעט בכל הסדר פשרה יש המלצה של הצדדים לשכר הטרחה והגמול, ומהנתונים שעמדו בפני הצוות הבין-משרדי עלה כי במרבית המקרים</w:t>
      </w:r>
      <w:r w:rsidR="00DF502A" w:rsidRPr="00C70BD1">
        <w:rPr>
          <w:sz w:val="26"/>
          <w:szCs w:val="26"/>
          <w:rtl/>
        </w:rPr>
        <w:t xml:space="preserve"> בתי המשפט נוטים לאשר את המלצת הצדדים לגמול ולשכר טרחה במלואה</w:t>
      </w:r>
      <w:r w:rsidR="00DF502A" w:rsidRPr="00C70BD1">
        <w:rPr>
          <w:rFonts w:hint="cs"/>
          <w:sz w:val="26"/>
          <w:szCs w:val="26"/>
          <w:rtl/>
        </w:rPr>
        <w:t xml:space="preserve"> ועל כן נראה כי </w:t>
      </w:r>
      <w:r w:rsidR="00DF502A" w:rsidRPr="00C70BD1">
        <w:rPr>
          <w:sz w:val="26"/>
          <w:szCs w:val="26"/>
          <w:rtl/>
        </w:rPr>
        <w:t xml:space="preserve">גם אם בית המשפט לא מחויב </w:t>
      </w:r>
      <w:r w:rsidR="00DF502A" w:rsidRPr="00C70BD1">
        <w:rPr>
          <w:rFonts w:hint="cs"/>
          <w:sz w:val="26"/>
          <w:szCs w:val="26"/>
          <w:rtl/>
        </w:rPr>
        <w:t>להמלצת הצדדים,</w:t>
      </w:r>
      <w:r w:rsidR="00DF502A" w:rsidRPr="00C70BD1">
        <w:rPr>
          <w:sz w:val="26"/>
          <w:szCs w:val="26"/>
          <w:rtl/>
        </w:rPr>
        <w:t xml:space="preserve"> היא מהווה נקודת התייחסות לצורך פסיקת הגמול ושכר הטרחה</w:t>
      </w:r>
      <w:r w:rsidR="00DF502A" w:rsidRPr="00C70BD1">
        <w:rPr>
          <w:rFonts w:hint="cs"/>
          <w:sz w:val="26"/>
          <w:szCs w:val="26"/>
          <w:rtl/>
        </w:rPr>
        <w:t xml:space="preserve">. </w:t>
      </w:r>
    </w:p>
    <w:p w14:paraId="6A003C98" w14:textId="778ACFF5" w:rsidR="003B5AFC" w:rsidRPr="005B6991" w:rsidRDefault="000A5D14" w:rsidP="006B4C3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ב</w:t>
      </w:r>
      <w:r w:rsidR="00AF7791" w:rsidRPr="00D21A4C">
        <w:rPr>
          <w:rFonts w:hint="cs"/>
          <w:sz w:val="26"/>
          <w:szCs w:val="26"/>
          <w:rtl/>
        </w:rPr>
        <w:t xml:space="preserve">דו"ח הצוות הבין-משרדי </w:t>
      </w:r>
      <w:r w:rsidR="00AF7791">
        <w:rPr>
          <w:rFonts w:hint="cs"/>
          <w:sz w:val="26"/>
          <w:szCs w:val="26"/>
          <w:rtl/>
        </w:rPr>
        <w:t xml:space="preserve">הובאה התייחסות מרחיבה לקשיים הקיימים </w:t>
      </w:r>
      <w:r w:rsidR="0082273B">
        <w:rPr>
          <w:rFonts w:hint="cs"/>
          <w:sz w:val="26"/>
          <w:szCs w:val="26"/>
          <w:rtl/>
        </w:rPr>
        <w:t>בנושא שכר הטרחה</w:t>
      </w:r>
      <w:r w:rsidR="00AF7791">
        <w:rPr>
          <w:rFonts w:hint="cs"/>
          <w:sz w:val="26"/>
          <w:szCs w:val="26"/>
          <w:rtl/>
        </w:rPr>
        <w:t xml:space="preserve"> ולכך שבכל הנוגע </w:t>
      </w:r>
      <w:r w:rsidR="00AF7791" w:rsidRPr="00D21A4C">
        <w:rPr>
          <w:rFonts w:hint="cs"/>
          <w:sz w:val="26"/>
          <w:szCs w:val="26"/>
          <w:rtl/>
        </w:rPr>
        <w:t>להסדרי פשרה</w:t>
      </w:r>
      <w:r w:rsidR="00AF7791">
        <w:rPr>
          <w:rFonts w:hint="cs"/>
          <w:sz w:val="26"/>
          <w:szCs w:val="26"/>
          <w:rtl/>
        </w:rPr>
        <w:t>,</w:t>
      </w:r>
      <w:r w:rsidR="00AF7791" w:rsidRPr="00D21A4C">
        <w:rPr>
          <w:rFonts w:hint="cs"/>
          <w:sz w:val="26"/>
          <w:szCs w:val="26"/>
          <w:rtl/>
        </w:rPr>
        <w:t xml:space="preserve"> הרושם הוא שבמקרים לא מעטים הצדדים מנסים להגדיל את הגמול ושכר הטרחה מבלי להביא לשיפור משמעותי של הסדרי הפשרה. </w:t>
      </w:r>
      <w:r w:rsidR="00AF7791">
        <w:rPr>
          <w:rFonts w:hint="cs"/>
          <w:sz w:val="26"/>
          <w:szCs w:val="26"/>
          <w:rtl/>
        </w:rPr>
        <w:t>למשל, הגעה להסדרי פשרה אשר מעניקים הטבות</w:t>
      </w:r>
      <w:r w:rsidR="00692FC1">
        <w:rPr>
          <w:rFonts w:hint="cs"/>
          <w:sz w:val="26"/>
          <w:szCs w:val="26"/>
          <w:rtl/>
        </w:rPr>
        <w:t xml:space="preserve">, לכאורה, </w:t>
      </w:r>
      <w:r w:rsidR="00AF7791">
        <w:rPr>
          <w:rFonts w:hint="cs"/>
          <w:sz w:val="26"/>
          <w:szCs w:val="26"/>
          <w:rtl/>
        </w:rPr>
        <w:t>לחברי הקבוצה, כאשר ערכן מחושב באופן מופרז וללא התחשבות בשאלה האם חברי הקבוצה מעוניינים בהטבות והאם אכן יממשו אותן בפועל. בנוסף, יש פער בין העלות של הפיצוי לנתבע לבין השווי של הפיצוי לחברי הקבוצה. פערים אלו מביאים לכך</w:t>
      </w:r>
      <w:r w:rsidR="00AF7791" w:rsidRPr="00CD4B1F">
        <w:rPr>
          <w:sz w:val="26"/>
          <w:szCs w:val="26"/>
          <w:rtl/>
        </w:rPr>
        <w:t xml:space="preserve"> </w:t>
      </w:r>
      <w:r w:rsidR="00AF7791" w:rsidRPr="00CD4B1F">
        <w:rPr>
          <w:rFonts w:hint="cs"/>
          <w:sz w:val="26"/>
          <w:szCs w:val="26"/>
          <w:rtl/>
        </w:rPr>
        <w:t xml:space="preserve">שלצדדים יש תמריץ להציע פיצוי שאינו כספי, שכן מצד אחד, הנתבע </w:t>
      </w:r>
      <w:proofErr w:type="spellStart"/>
      <w:r w:rsidR="00AF7791" w:rsidRPr="00CD4B1F">
        <w:rPr>
          <w:rFonts w:hint="cs"/>
          <w:sz w:val="26"/>
          <w:szCs w:val="26"/>
          <w:rtl/>
        </w:rPr>
        <w:t>ישא</w:t>
      </w:r>
      <w:proofErr w:type="spellEnd"/>
      <w:r w:rsidR="00AF7791" w:rsidRPr="00CD4B1F">
        <w:rPr>
          <w:rFonts w:hint="cs"/>
          <w:sz w:val="26"/>
          <w:szCs w:val="26"/>
          <w:rtl/>
        </w:rPr>
        <w:t xml:space="preserve"> בסכום פיצוי נמוך יותר לקבוצה ומהצד השני עורך הדין יוכל לקבל שכר טרחה גבוה יותר על אף שהפיצוי </w:t>
      </w:r>
      <w:r w:rsidR="00015C81">
        <w:rPr>
          <w:rFonts w:hint="cs"/>
          <w:sz w:val="26"/>
          <w:szCs w:val="26"/>
          <w:rtl/>
        </w:rPr>
        <w:t xml:space="preserve">בפועל </w:t>
      </w:r>
      <w:r w:rsidR="00AF7791" w:rsidRPr="00CD4B1F">
        <w:rPr>
          <w:rFonts w:hint="cs"/>
          <w:sz w:val="26"/>
          <w:szCs w:val="26"/>
          <w:rtl/>
        </w:rPr>
        <w:t>אינו משמעותי</w:t>
      </w:r>
      <w:r w:rsidR="00AF7791">
        <w:rPr>
          <w:rFonts w:hint="cs"/>
          <w:sz w:val="26"/>
          <w:szCs w:val="26"/>
          <w:rtl/>
        </w:rPr>
        <w:t xml:space="preserve">. </w:t>
      </w:r>
      <w:proofErr w:type="spellStart"/>
      <w:r w:rsidR="005B6991">
        <w:rPr>
          <w:rFonts w:hint="cs"/>
          <w:sz w:val="26"/>
          <w:szCs w:val="26"/>
          <w:rtl/>
        </w:rPr>
        <w:t>הסוגיה</w:t>
      </w:r>
      <w:proofErr w:type="spellEnd"/>
      <w:r w:rsidR="005B6991">
        <w:rPr>
          <w:rFonts w:hint="cs"/>
          <w:sz w:val="26"/>
          <w:szCs w:val="26"/>
          <w:rtl/>
        </w:rPr>
        <w:t xml:space="preserve"> אינה מוסדרת בצורה מספיק טובה בחוק והיא </w:t>
      </w:r>
      <w:r w:rsidR="003B5AFC" w:rsidRPr="005B6991">
        <w:rPr>
          <w:sz w:val="26"/>
          <w:szCs w:val="26"/>
          <w:rtl/>
        </w:rPr>
        <w:t>מותירה פתח לניסיונות של הצדדים להגדלת שכר הטרחה והגמול וזאת ללא קשר לתועלת הממשית של הקבוצה מהתובענה.</w:t>
      </w:r>
      <w:r w:rsidR="005B6991">
        <w:rPr>
          <w:rFonts w:hint="cs"/>
          <w:sz w:val="26"/>
          <w:szCs w:val="26"/>
          <w:rtl/>
        </w:rPr>
        <w:t xml:space="preserve"> </w:t>
      </w:r>
      <w:r w:rsidR="003B5AFC" w:rsidRPr="005B6991">
        <w:rPr>
          <w:rFonts w:hint="cs"/>
          <w:sz w:val="26"/>
          <w:szCs w:val="26"/>
          <w:rtl/>
        </w:rPr>
        <w:t xml:space="preserve">בנוסף, </w:t>
      </w:r>
      <w:r w:rsidR="003B5AFC" w:rsidRPr="005B6991">
        <w:rPr>
          <w:sz w:val="26"/>
          <w:szCs w:val="26"/>
          <w:rtl/>
        </w:rPr>
        <w:t>האפשרות של הצדדים להשפיע על קביעת שכר הטרחה והגמול</w:t>
      </w:r>
      <w:r w:rsidR="003B5AFC" w:rsidRPr="005B6991">
        <w:rPr>
          <w:rFonts w:hint="cs"/>
          <w:sz w:val="26"/>
          <w:szCs w:val="26"/>
          <w:rtl/>
        </w:rPr>
        <w:t xml:space="preserve"> באמצעות המלצותיהם והסכמותיהם</w:t>
      </w:r>
      <w:r w:rsidR="003B5AFC" w:rsidRPr="005B6991">
        <w:rPr>
          <w:sz w:val="26"/>
          <w:szCs w:val="26"/>
          <w:rtl/>
        </w:rPr>
        <w:t xml:space="preserve"> מביאה לחוסר אחידות בתחום בכל הנוגע לפסיקת שכר טרחה וגמול</w:t>
      </w:r>
      <w:r w:rsidR="003B5AFC" w:rsidRPr="005B6991">
        <w:rPr>
          <w:rFonts w:hint="cs"/>
          <w:sz w:val="26"/>
          <w:szCs w:val="26"/>
          <w:rtl/>
        </w:rPr>
        <w:t xml:space="preserve">. </w:t>
      </w:r>
    </w:p>
    <w:p w14:paraId="0221DC7D" w14:textId="3168289C" w:rsidR="00072911" w:rsidRPr="00545933" w:rsidRDefault="008546EA" w:rsidP="006B4C3D">
      <w:pPr>
        <w:tabs>
          <w:tab w:val="left" w:pos="1020"/>
        </w:tabs>
        <w:autoSpaceDE w:val="0"/>
        <w:autoSpaceDN w:val="0"/>
        <w:adjustRightInd w:val="0"/>
        <w:snapToGrid w:val="0"/>
        <w:ind w:left="0"/>
        <w:contextualSpacing w:val="0"/>
        <w:textAlignment w:val="center"/>
        <w:rPr>
          <w:sz w:val="26"/>
          <w:szCs w:val="26"/>
          <w:rtl/>
        </w:rPr>
      </w:pPr>
      <w:r w:rsidRPr="005B6991">
        <w:rPr>
          <w:rFonts w:hint="cs"/>
          <w:sz w:val="26"/>
          <w:szCs w:val="26"/>
          <w:rtl/>
        </w:rPr>
        <w:t>לאור האמור לעיל ומכיוון ש</w:t>
      </w:r>
      <w:r w:rsidR="003B5AFC" w:rsidRPr="005B6991">
        <w:rPr>
          <w:sz w:val="26"/>
          <w:szCs w:val="26"/>
          <w:rtl/>
        </w:rPr>
        <w:t xml:space="preserve">שכר הטרחה והגמול </w:t>
      </w:r>
      <w:r w:rsidR="003B5AFC" w:rsidRPr="005B6991">
        <w:rPr>
          <w:rFonts w:hint="cs"/>
          <w:sz w:val="26"/>
          <w:szCs w:val="26"/>
          <w:rtl/>
        </w:rPr>
        <w:t xml:space="preserve">לתובע הייצוגי ובא כוחו </w:t>
      </w:r>
      <w:r w:rsidR="003B5AFC" w:rsidRPr="005B6991">
        <w:rPr>
          <w:sz w:val="26"/>
          <w:szCs w:val="26"/>
          <w:rtl/>
        </w:rPr>
        <w:t xml:space="preserve">הם </w:t>
      </w:r>
      <w:r w:rsidR="00015C81">
        <w:rPr>
          <w:rFonts w:hint="cs"/>
          <w:sz w:val="26"/>
          <w:szCs w:val="26"/>
          <w:rtl/>
        </w:rPr>
        <w:t xml:space="preserve">אחד </w:t>
      </w:r>
      <w:r w:rsidR="003B5AFC" w:rsidRPr="005B6991">
        <w:rPr>
          <w:sz w:val="26"/>
          <w:szCs w:val="26"/>
          <w:rtl/>
        </w:rPr>
        <w:t>הגורמים</w:t>
      </w:r>
      <w:r w:rsidR="003B5AFC" w:rsidRPr="005B6991">
        <w:rPr>
          <w:rFonts w:hint="cs"/>
          <w:sz w:val="26"/>
          <w:szCs w:val="26"/>
          <w:rtl/>
        </w:rPr>
        <w:t xml:space="preserve"> העיקריים המשפיעים על עיצוב הליך התובענה הייצוגית בהיותם התמריץ הכלכלי להגשתו</w:t>
      </w:r>
      <w:r w:rsidR="0081673D">
        <w:rPr>
          <w:rFonts w:hint="cs"/>
          <w:sz w:val="26"/>
          <w:szCs w:val="26"/>
          <w:rtl/>
        </w:rPr>
        <w:t>,</w:t>
      </w:r>
      <w:r w:rsidRPr="005B6991">
        <w:rPr>
          <w:rFonts w:hint="cs"/>
          <w:sz w:val="26"/>
          <w:szCs w:val="26"/>
          <w:rtl/>
        </w:rPr>
        <w:t xml:space="preserve"> </w:t>
      </w:r>
      <w:r w:rsidR="0081673D">
        <w:rPr>
          <w:rFonts w:hint="cs"/>
          <w:sz w:val="26"/>
          <w:szCs w:val="26"/>
          <w:rtl/>
        </w:rPr>
        <w:t>מוצע</w:t>
      </w:r>
      <w:r w:rsidR="0081673D" w:rsidRPr="00C70BD1">
        <w:rPr>
          <w:sz w:val="26"/>
          <w:szCs w:val="26"/>
          <w:rtl/>
        </w:rPr>
        <w:t xml:space="preserve"> לקבוע שבית המשפט יהיה הגורם הבלעדי שיקבע את שכר הטרחה, ללא קבלת המלצה מן הצדדים. </w:t>
      </w:r>
      <w:r w:rsidR="0081673D" w:rsidRPr="00C70BD1">
        <w:rPr>
          <w:rFonts w:hint="cs"/>
          <w:sz w:val="26"/>
          <w:szCs w:val="26"/>
          <w:rtl/>
        </w:rPr>
        <w:t xml:space="preserve">בנוסף, </w:t>
      </w:r>
      <w:r w:rsidR="0081673D" w:rsidRPr="00C70BD1">
        <w:rPr>
          <w:sz w:val="26"/>
          <w:szCs w:val="26"/>
          <w:rtl/>
        </w:rPr>
        <w:t xml:space="preserve">קיימת חשיבות בקביעת </w:t>
      </w:r>
      <w:r w:rsidRPr="005B6991">
        <w:rPr>
          <w:rFonts w:hint="cs"/>
          <w:sz w:val="26"/>
          <w:szCs w:val="26"/>
          <w:rtl/>
        </w:rPr>
        <w:t xml:space="preserve">כללים אחידים וברורים שייקנו וודאות לצדדים </w:t>
      </w:r>
      <w:r w:rsidRPr="00545933">
        <w:rPr>
          <w:rFonts w:hint="cs"/>
          <w:sz w:val="26"/>
          <w:szCs w:val="26"/>
          <w:rtl/>
        </w:rPr>
        <w:t>במסגרת ההליך ויאפשרו לבתי המשפט לקבוע בצורה פשוטה יותר את שכר הטרחה והגמול</w:t>
      </w:r>
      <w:r w:rsidR="00072911" w:rsidRPr="00545933">
        <w:rPr>
          <w:rFonts w:hint="cs"/>
          <w:sz w:val="26"/>
          <w:szCs w:val="26"/>
          <w:rtl/>
        </w:rPr>
        <w:t xml:space="preserve">. </w:t>
      </w:r>
    </w:p>
    <w:p w14:paraId="1547885D" w14:textId="27E46F58" w:rsidR="002E2602" w:rsidRPr="00545933" w:rsidRDefault="001359A4" w:rsidP="000A5D14">
      <w:pPr>
        <w:tabs>
          <w:tab w:val="left" w:pos="1020"/>
        </w:tabs>
        <w:autoSpaceDE w:val="0"/>
        <w:autoSpaceDN w:val="0"/>
        <w:adjustRightInd w:val="0"/>
        <w:snapToGrid w:val="0"/>
        <w:ind w:left="0"/>
        <w:contextualSpacing w:val="0"/>
        <w:textAlignment w:val="center"/>
        <w:rPr>
          <w:sz w:val="26"/>
          <w:szCs w:val="26"/>
          <w:rtl/>
        </w:rPr>
      </w:pPr>
      <w:r w:rsidRPr="00545933">
        <w:rPr>
          <w:rFonts w:hint="cs"/>
          <w:sz w:val="26"/>
          <w:szCs w:val="26"/>
          <w:rtl/>
        </w:rPr>
        <w:t xml:space="preserve">כך, </w:t>
      </w:r>
      <w:r w:rsidR="002E2602" w:rsidRPr="00545933">
        <w:rPr>
          <w:rFonts w:hint="cs"/>
          <w:sz w:val="26"/>
          <w:szCs w:val="26"/>
          <w:rtl/>
        </w:rPr>
        <w:t>מוצע לקבוע מתווה לפסיקת גמול ושכר טרחה ביחד. לאור הא</w:t>
      </w:r>
      <w:r w:rsidR="000A5D14" w:rsidRPr="00545933">
        <w:rPr>
          <w:rFonts w:hint="cs"/>
          <w:sz w:val="26"/>
          <w:szCs w:val="26"/>
          <w:rtl/>
        </w:rPr>
        <w:t>מ</w:t>
      </w:r>
      <w:r w:rsidR="002E2602" w:rsidRPr="00545933">
        <w:rPr>
          <w:rFonts w:hint="cs"/>
          <w:sz w:val="26"/>
          <w:szCs w:val="26"/>
          <w:rtl/>
        </w:rPr>
        <w:t>ור, מוצע</w:t>
      </w:r>
      <w:r w:rsidR="00D737C3" w:rsidRPr="00545933">
        <w:rPr>
          <w:rFonts w:hint="cs"/>
          <w:sz w:val="26"/>
          <w:szCs w:val="26"/>
          <w:rtl/>
        </w:rPr>
        <w:t xml:space="preserve"> </w:t>
      </w:r>
      <w:r w:rsidR="00D737C3" w:rsidRPr="00545933">
        <w:rPr>
          <w:rFonts w:hint="eastAsia"/>
          <w:sz w:val="26"/>
          <w:szCs w:val="26"/>
          <w:rtl/>
        </w:rPr>
        <w:t>בסעיף</w:t>
      </w:r>
      <w:r w:rsidR="00D737C3" w:rsidRPr="00545933">
        <w:rPr>
          <w:sz w:val="26"/>
          <w:szCs w:val="26"/>
          <w:rtl/>
        </w:rPr>
        <w:t xml:space="preserve"> 16 </w:t>
      </w:r>
      <w:r w:rsidR="00D737C3" w:rsidRPr="00545933">
        <w:rPr>
          <w:rFonts w:hint="eastAsia"/>
          <w:sz w:val="26"/>
          <w:szCs w:val="26"/>
          <w:rtl/>
        </w:rPr>
        <w:t>לתזכיר</w:t>
      </w:r>
      <w:r w:rsidR="00D737C3" w:rsidRPr="00545933">
        <w:rPr>
          <w:rFonts w:hint="cs"/>
          <w:sz w:val="26"/>
          <w:szCs w:val="26"/>
          <w:rtl/>
        </w:rPr>
        <w:t xml:space="preserve"> זה,</w:t>
      </w:r>
      <w:r w:rsidR="002E2602" w:rsidRPr="00545933">
        <w:rPr>
          <w:rFonts w:hint="cs"/>
          <w:sz w:val="26"/>
          <w:szCs w:val="26"/>
          <w:rtl/>
        </w:rPr>
        <w:t xml:space="preserve"> לבטל את סעיף 22 שעניינו בקביעת גמול למבקש או לתובע הייצוגי ולתקן את סעיף 23 כך שייקבעו בו כללים אחידים כאמור</w:t>
      </w:r>
      <w:r w:rsidR="000A5D14" w:rsidRPr="00545933">
        <w:rPr>
          <w:rFonts w:hint="cs"/>
          <w:sz w:val="26"/>
          <w:szCs w:val="26"/>
          <w:rtl/>
        </w:rPr>
        <w:t xml:space="preserve">. </w:t>
      </w:r>
    </w:p>
    <w:p w14:paraId="7447050A" w14:textId="0CEB1317" w:rsidR="002E2602" w:rsidRPr="00545933" w:rsidRDefault="000A5D14" w:rsidP="006B4C3D">
      <w:pPr>
        <w:tabs>
          <w:tab w:val="left" w:pos="1020"/>
        </w:tabs>
        <w:autoSpaceDE w:val="0"/>
        <w:autoSpaceDN w:val="0"/>
        <w:adjustRightInd w:val="0"/>
        <w:snapToGrid w:val="0"/>
        <w:ind w:left="0"/>
        <w:contextualSpacing w:val="0"/>
        <w:textAlignment w:val="center"/>
        <w:rPr>
          <w:sz w:val="26"/>
          <w:szCs w:val="26"/>
          <w:rtl/>
        </w:rPr>
      </w:pPr>
      <w:r w:rsidRPr="00545933">
        <w:rPr>
          <w:rFonts w:hint="cs"/>
          <w:sz w:val="26"/>
          <w:szCs w:val="26"/>
          <w:rtl/>
        </w:rPr>
        <w:t xml:space="preserve">הכלל העיקרי אותו מוצע לקבוע הוא כי </w:t>
      </w:r>
      <w:r w:rsidR="002E2602" w:rsidRPr="00545933">
        <w:rPr>
          <w:sz w:val="26"/>
          <w:szCs w:val="26"/>
          <w:rtl/>
        </w:rPr>
        <w:t xml:space="preserve">בתובענות ייצוגיות שבהן ניתן פיצוי לקבוצה, הגמול ושכר הטרחה יהיו בשיעורים קבועים שייקבעו בתוספת חדשה לחוק – התוספת החמישית. </w:t>
      </w:r>
    </w:p>
    <w:p w14:paraId="639945BE" w14:textId="7388A354" w:rsidR="002E2602" w:rsidRPr="00545933" w:rsidRDefault="002E2602" w:rsidP="0012163E">
      <w:pPr>
        <w:tabs>
          <w:tab w:val="left" w:pos="1020"/>
        </w:tabs>
        <w:autoSpaceDE w:val="0"/>
        <w:autoSpaceDN w:val="0"/>
        <w:adjustRightInd w:val="0"/>
        <w:snapToGrid w:val="0"/>
        <w:ind w:left="0"/>
        <w:contextualSpacing w:val="0"/>
        <w:textAlignment w:val="center"/>
        <w:rPr>
          <w:sz w:val="26"/>
          <w:szCs w:val="26"/>
          <w:rtl/>
        </w:rPr>
      </w:pPr>
      <w:r w:rsidRPr="00545933">
        <w:rPr>
          <w:sz w:val="26"/>
          <w:szCs w:val="26"/>
          <w:rtl/>
        </w:rPr>
        <w:t xml:space="preserve">בתוספת </w:t>
      </w:r>
      <w:r w:rsidR="00D737C3" w:rsidRPr="00545933">
        <w:rPr>
          <w:rFonts w:hint="eastAsia"/>
          <w:sz w:val="26"/>
          <w:szCs w:val="26"/>
          <w:rtl/>
        </w:rPr>
        <w:t>החמישית</w:t>
      </w:r>
      <w:r w:rsidR="00D737C3" w:rsidRPr="00545933">
        <w:rPr>
          <w:rFonts w:hint="cs"/>
          <w:sz w:val="26"/>
          <w:szCs w:val="26"/>
          <w:rtl/>
        </w:rPr>
        <w:t xml:space="preserve"> </w:t>
      </w:r>
      <w:r w:rsidRPr="00545933">
        <w:rPr>
          <w:sz w:val="26"/>
          <w:szCs w:val="26"/>
          <w:rtl/>
        </w:rPr>
        <w:t>לחוק מוצע לקבוע כי הסכומים ייפסקו בהתאם לסכום הפיצוי שניתן</w:t>
      </w:r>
      <w:r w:rsidRPr="00101D26">
        <w:rPr>
          <w:sz w:val="26"/>
          <w:szCs w:val="26"/>
          <w:rtl/>
        </w:rPr>
        <w:t xml:space="preserve"> לקבוצה, כך ששכר הטרחה והגמול ייגזרו באחוזים מסכום הפיצוי לקבוצה. קביעה זו מאמצת למעשה את ההלכה המנחה בעניין זה אשר נקבעה ב</w:t>
      </w:r>
      <w:r w:rsidR="0012163E" w:rsidRPr="0012163E">
        <w:rPr>
          <w:sz w:val="26"/>
          <w:szCs w:val="26"/>
          <w:rtl/>
        </w:rPr>
        <w:t xml:space="preserve">ע"א 2046/10 עזבון המנוח משה שמש נ' דן </w:t>
      </w:r>
      <w:proofErr w:type="spellStart"/>
      <w:r w:rsidR="0012163E" w:rsidRPr="0012163E">
        <w:rPr>
          <w:sz w:val="26"/>
          <w:szCs w:val="26"/>
          <w:rtl/>
        </w:rPr>
        <w:t>רייכרט</w:t>
      </w:r>
      <w:proofErr w:type="spellEnd"/>
      <w:r w:rsidR="0012163E" w:rsidRPr="0012163E">
        <w:rPr>
          <w:sz w:val="26"/>
          <w:szCs w:val="26"/>
          <w:rtl/>
        </w:rPr>
        <w:t xml:space="preserve"> (</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0012163E" w:rsidRPr="0012163E">
        <w:rPr>
          <w:sz w:val="26"/>
          <w:szCs w:val="26"/>
          <w:rtl/>
        </w:rPr>
        <w:t xml:space="preserve"> 23.</w:t>
      </w:r>
      <w:r w:rsidR="0012163E" w:rsidRPr="0012163E">
        <w:rPr>
          <w:rFonts w:hint="cs"/>
          <w:sz w:val="26"/>
          <w:szCs w:val="26"/>
          <w:rtl/>
        </w:rPr>
        <w:t>5</w:t>
      </w:r>
      <w:r w:rsidR="0012163E" w:rsidRPr="0012163E">
        <w:rPr>
          <w:sz w:val="26"/>
          <w:szCs w:val="26"/>
          <w:rtl/>
        </w:rPr>
        <w:t>.2012)</w:t>
      </w:r>
      <w:r w:rsidR="0012163E">
        <w:rPr>
          <w:rFonts w:hint="cs"/>
          <w:sz w:val="26"/>
          <w:szCs w:val="26"/>
          <w:rtl/>
        </w:rPr>
        <w:t xml:space="preserve"> </w:t>
      </w:r>
      <w:r w:rsidRPr="00101D26">
        <w:rPr>
          <w:sz w:val="26"/>
          <w:szCs w:val="26"/>
          <w:rtl/>
        </w:rPr>
        <w:t xml:space="preserve">(להלן: עניין </w:t>
      </w:r>
      <w:proofErr w:type="spellStart"/>
      <w:r w:rsidRPr="00101D26">
        <w:rPr>
          <w:sz w:val="26"/>
          <w:szCs w:val="26"/>
          <w:rtl/>
        </w:rPr>
        <w:t>רייכרט</w:t>
      </w:r>
      <w:proofErr w:type="spellEnd"/>
      <w:r w:rsidRPr="00101D26">
        <w:rPr>
          <w:sz w:val="26"/>
          <w:szCs w:val="26"/>
          <w:rtl/>
        </w:rPr>
        <w:t>). הרציונל אשר עמד בבסיס הפסיקה האמורה הוא הצורך לקשור בין הגורל של המייצגים לבין גורלם של חברי הקבוצה</w:t>
      </w:r>
      <w:r w:rsidR="00015C81">
        <w:rPr>
          <w:rFonts w:hint="cs"/>
          <w:sz w:val="26"/>
          <w:szCs w:val="26"/>
          <w:rtl/>
        </w:rPr>
        <w:t xml:space="preserve"> בשל החשש המובנה מ"בעיית הנציג"</w:t>
      </w:r>
      <w:r w:rsidRPr="00101D26">
        <w:rPr>
          <w:sz w:val="26"/>
          <w:szCs w:val="26"/>
          <w:rtl/>
        </w:rPr>
        <w:t xml:space="preserve">. זאת, מכיוון שככל ששכר הטרחה ישולם במנותק מן </w:t>
      </w:r>
      <w:r w:rsidRPr="00545933">
        <w:rPr>
          <w:sz w:val="26"/>
          <w:szCs w:val="26"/>
          <w:rtl/>
        </w:rPr>
        <w:t xml:space="preserve">הפיצוי לחברי הקבוצה, הרי שלמייצגים אין תמריץ מספק לפעול להוצאתו של הסדר הפשרה או פסק הדין אל הפועל עד סופו ולהשיא את הפיצוי עבור חברי הקבוצה וממילא הדבר פוגם גם באופן ניהולו של ההליך מלכתחילה על ידיהם. לכן, מוצע כאמור לעגן את ההלכה המנחה בחקיקה וכן לקבוע באופן ברור את האחוזים של שכר הטרחה והגמול שייפסקו. </w:t>
      </w:r>
    </w:p>
    <w:p w14:paraId="0A1586A2" w14:textId="6E64279B" w:rsidR="002E2602" w:rsidRPr="00545933" w:rsidRDefault="002E2602" w:rsidP="006B4C3D">
      <w:pPr>
        <w:tabs>
          <w:tab w:val="left" w:pos="1020"/>
        </w:tabs>
        <w:autoSpaceDE w:val="0"/>
        <w:autoSpaceDN w:val="0"/>
        <w:adjustRightInd w:val="0"/>
        <w:snapToGrid w:val="0"/>
        <w:ind w:left="0"/>
        <w:contextualSpacing w:val="0"/>
        <w:textAlignment w:val="center"/>
        <w:rPr>
          <w:sz w:val="26"/>
          <w:szCs w:val="26"/>
          <w:rtl/>
        </w:rPr>
      </w:pPr>
      <w:r w:rsidRPr="00545933">
        <w:rPr>
          <w:sz w:val="26"/>
          <w:szCs w:val="26"/>
          <w:rtl/>
        </w:rPr>
        <w:t xml:space="preserve">שיעור הגמול ושכר הטרחה ייקבעו בפרט </w:t>
      </w:r>
      <w:r w:rsidR="000A5D14" w:rsidRPr="00545933">
        <w:rPr>
          <w:rFonts w:hint="cs"/>
          <w:sz w:val="26"/>
          <w:szCs w:val="26"/>
          <w:rtl/>
        </w:rPr>
        <w:t>2</w:t>
      </w:r>
      <w:r w:rsidRPr="00545933">
        <w:rPr>
          <w:sz w:val="26"/>
          <w:szCs w:val="26"/>
          <w:rtl/>
        </w:rPr>
        <w:t xml:space="preserve"> לתוספת החמישית לחוק, כאשר מוצע לקבוע את השיעורים של שכר הטרחה והגמול ביחד בהתאם להלכה שנקבעה בעניין זה (</w:t>
      </w:r>
      <w:r w:rsidRPr="00545933">
        <w:rPr>
          <w:color w:val="000000"/>
          <w:sz w:val="26"/>
          <w:szCs w:val="26"/>
          <w:rtl/>
        </w:rPr>
        <w:t>רע"א 2957/17 </w:t>
      </w:r>
      <w:proofErr w:type="spellStart"/>
      <w:r w:rsidRPr="00545933">
        <w:rPr>
          <w:color w:val="000000"/>
          <w:sz w:val="26"/>
          <w:szCs w:val="26"/>
          <w:rtl/>
        </w:rPr>
        <w:t>סופרגז</w:t>
      </w:r>
      <w:proofErr w:type="spellEnd"/>
      <w:r w:rsidRPr="00545933">
        <w:rPr>
          <w:color w:val="000000"/>
          <w:sz w:val="26"/>
          <w:szCs w:val="26"/>
          <w:rtl/>
        </w:rPr>
        <w:t xml:space="preserve"> חברה ישראלית </w:t>
      </w:r>
      <w:r w:rsidRPr="00545933">
        <w:rPr>
          <w:color w:val="000000"/>
          <w:sz w:val="26"/>
          <w:szCs w:val="26"/>
          <w:rtl/>
        </w:rPr>
        <w:lastRenderedPageBreak/>
        <w:t>להפצת גז נ' יעל שוורצמן (</w:t>
      </w:r>
      <w:proofErr w:type="spellStart"/>
      <w:r w:rsidRPr="00545933">
        <w:rPr>
          <w:color w:val="000000"/>
          <w:sz w:val="26"/>
          <w:szCs w:val="26"/>
          <w:rtl/>
        </w:rPr>
        <w:t>אר"ש</w:t>
      </w:r>
      <w:proofErr w:type="spellEnd"/>
      <w:r w:rsidRPr="00545933">
        <w:rPr>
          <w:color w:val="000000"/>
          <w:sz w:val="26"/>
          <w:szCs w:val="26"/>
          <w:rtl/>
        </w:rPr>
        <w:t>, 17.03.2024)</w:t>
      </w:r>
      <w:r w:rsidRPr="00545933">
        <w:rPr>
          <w:sz w:val="26"/>
          <w:szCs w:val="26"/>
          <w:rtl/>
        </w:rPr>
        <w:t xml:space="preserve"> (להלן: הלכת שוורצמן). בהתאם לעקרונות שנקבעו בפסיקה, אחוזי הגמול ושכר הטרחה נקבעו כנגזרת של השיקולים הבאים: הראשון, שיעור האחוזים לגמול ושכר הטרחה הופחתו ככל שסכום הפיצוי גבוה יותר. </w:t>
      </w:r>
      <w:r w:rsidR="000A5D14" w:rsidRPr="00545933">
        <w:rPr>
          <w:rFonts w:hint="cs"/>
          <w:sz w:val="26"/>
          <w:szCs w:val="26"/>
          <w:rtl/>
        </w:rPr>
        <w:t>זאת מכיוון</w:t>
      </w:r>
      <w:r w:rsidRPr="00545933">
        <w:rPr>
          <w:sz w:val="26"/>
          <w:szCs w:val="26"/>
          <w:rtl/>
        </w:rPr>
        <w:t xml:space="preserve"> </w:t>
      </w:r>
      <w:r w:rsidR="000A5D14" w:rsidRPr="00545933">
        <w:rPr>
          <w:rFonts w:hint="cs"/>
          <w:sz w:val="26"/>
          <w:szCs w:val="26"/>
          <w:rtl/>
        </w:rPr>
        <w:t>ש</w:t>
      </w:r>
      <w:r w:rsidRPr="00545933">
        <w:rPr>
          <w:sz w:val="26"/>
          <w:szCs w:val="26"/>
          <w:rtl/>
        </w:rPr>
        <w:t>פסיקת גמול ושכר טרחה ללא הפחתת האחוזים ככל שהסכומים עולים, עשויה להביא לפסיקה של סכומים מופרזים שאינם משקפים את נסיבות המקרה ואת היחס ההולם בין כמות ההשקעה בהליך לבין סכום הפיצוי לקבוצה. השני, השלב שבו הסתיים ההליך. כך</w:t>
      </w:r>
      <w:r w:rsidR="000A5D14" w:rsidRPr="00545933">
        <w:rPr>
          <w:rFonts w:hint="cs"/>
          <w:sz w:val="26"/>
          <w:szCs w:val="26"/>
          <w:rtl/>
        </w:rPr>
        <w:t xml:space="preserve"> למשל</w:t>
      </w:r>
      <w:r w:rsidRPr="00545933">
        <w:rPr>
          <w:sz w:val="26"/>
          <w:szCs w:val="26"/>
          <w:rtl/>
        </w:rPr>
        <w:t xml:space="preserve"> גובה האחוז שייקבע לשכר הטרחה והגמול בהליך שהסתיים בפסק דין לאחר בירור ההליך לגופו יהיה גבוה מאחוז שכר הטרחה והגמול בהליך שהסתיים בהסדר פשרה. דירוג זה נקבע גם בפסיקה וזאת על מנת לתמרץ את התובע הייצוגי ובא כוחו לפעול לטובת הקבוצה ולהביא תובענות ייצוגיות ראויות לבירור ולהכרעת דין. </w:t>
      </w:r>
    </w:p>
    <w:p w14:paraId="03E16965" w14:textId="32207AB6" w:rsidR="00D95E62" w:rsidRPr="00545933" w:rsidRDefault="002E2602" w:rsidP="0012163E">
      <w:pPr>
        <w:tabs>
          <w:tab w:val="left" w:pos="1020"/>
        </w:tabs>
        <w:autoSpaceDE w:val="0"/>
        <w:autoSpaceDN w:val="0"/>
        <w:adjustRightInd w:val="0"/>
        <w:snapToGrid w:val="0"/>
        <w:ind w:left="0"/>
        <w:contextualSpacing w:val="0"/>
        <w:textAlignment w:val="center"/>
        <w:rPr>
          <w:sz w:val="26"/>
          <w:szCs w:val="26"/>
          <w:rtl/>
        </w:rPr>
      </w:pPr>
      <w:r w:rsidRPr="00545933">
        <w:rPr>
          <w:sz w:val="26"/>
          <w:szCs w:val="26"/>
          <w:rtl/>
        </w:rPr>
        <w:t xml:space="preserve">עוד יובהר כי האחוזים שנקבעו בפרט </w:t>
      </w:r>
      <w:r w:rsidR="000A5D14" w:rsidRPr="00545933">
        <w:rPr>
          <w:rFonts w:hint="cs"/>
          <w:sz w:val="26"/>
          <w:szCs w:val="26"/>
          <w:rtl/>
        </w:rPr>
        <w:t>2</w:t>
      </w:r>
      <w:r w:rsidRPr="00545933">
        <w:rPr>
          <w:sz w:val="26"/>
          <w:szCs w:val="26"/>
          <w:rtl/>
        </w:rPr>
        <w:t xml:space="preserve"> לתוספת החמישית מתבססים </w:t>
      </w:r>
      <w:r w:rsidR="000A5D14" w:rsidRPr="00545933">
        <w:rPr>
          <w:rFonts w:hint="cs"/>
          <w:sz w:val="26"/>
          <w:szCs w:val="26"/>
          <w:rtl/>
        </w:rPr>
        <w:t>הן על</w:t>
      </w:r>
      <w:r w:rsidR="000A5D14">
        <w:rPr>
          <w:rFonts w:hint="cs"/>
          <w:sz w:val="26"/>
          <w:szCs w:val="26"/>
          <w:rtl/>
        </w:rPr>
        <w:t xml:space="preserve"> האחוזים </w:t>
      </w:r>
      <w:r w:rsidR="000A5D14" w:rsidRPr="00101D26">
        <w:rPr>
          <w:sz w:val="26"/>
          <w:szCs w:val="26"/>
          <w:rtl/>
        </w:rPr>
        <w:t>שנפסקים כבר היום בהסדרי פשרה בתחום כפי שעלה מדו"ח הצוות הבין-משרדי</w:t>
      </w:r>
      <w:r w:rsidR="000A5D14">
        <w:rPr>
          <w:rFonts w:hint="cs"/>
          <w:sz w:val="26"/>
          <w:szCs w:val="26"/>
          <w:rtl/>
        </w:rPr>
        <w:t xml:space="preserve"> והן </w:t>
      </w:r>
      <w:r w:rsidRPr="00101D26">
        <w:rPr>
          <w:sz w:val="26"/>
          <w:szCs w:val="26"/>
          <w:rtl/>
        </w:rPr>
        <w:t xml:space="preserve">על האחוזים שנפסקו בעניין </w:t>
      </w:r>
      <w:proofErr w:type="spellStart"/>
      <w:r w:rsidRPr="00101D26">
        <w:rPr>
          <w:sz w:val="26"/>
          <w:szCs w:val="26"/>
          <w:rtl/>
        </w:rPr>
        <w:t>רייכרט</w:t>
      </w:r>
      <w:proofErr w:type="spellEnd"/>
      <w:r w:rsidRPr="00101D26">
        <w:rPr>
          <w:sz w:val="26"/>
          <w:szCs w:val="26"/>
          <w:rtl/>
        </w:rPr>
        <w:t xml:space="preserve">, תוך הפחתה </w:t>
      </w:r>
      <w:proofErr w:type="spellStart"/>
      <w:r w:rsidRPr="00101D26">
        <w:rPr>
          <w:sz w:val="26"/>
          <w:szCs w:val="26"/>
          <w:rtl/>
        </w:rPr>
        <w:t>מסויימת</w:t>
      </w:r>
      <w:proofErr w:type="spellEnd"/>
      <w:r w:rsidRPr="00101D26">
        <w:rPr>
          <w:sz w:val="26"/>
          <w:szCs w:val="26"/>
          <w:rtl/>
        </w:rPr>
        <w:t xml:space="preserve"> של השיעורים שנקבעו שם. זאת מכיוון שכפי שצוין בעניין </w:t>
      </w:r>
      <w:proofErr w:type="spellStart"/>
      <w:r w:rsidRPr="00101D26">
        <w:rPr>
          <w:sz w:val="26"/>
          <w:szCs w:val="26"/>
          <w:rtl/>
        </w:rPr>
        <w:t>רייכרט</w:t>
      </w:r>
      <w:proofErr w:type="spellEnd"/>
      <w:r w:rsidRPr="00101D26">
        <w:rPr>
          <w:sz w:val="26"/>
          <w:szCs w:val="26"/>
          <w:rtl/>
        </w:rPr>
        <w:t>, השיעור שנקבע שם היה גבוה והתאים לנסיבות הייחודיות של ההליך שהיה תקדימי ובעל חשיבות מיוחדת ושנוהל במשך שנים רבות בכמה ערכאות. בהקשר זה גם יצוין כי גם ב</w:t>
      </w:r>
      <w:r>
        <w:rPr>
          <w:sz w:val="26"/>
          <w:szCs w:val="26"/>
          <w:rtl/>
        </w:rPr>
        <w:t>הלכת שוורצמן</w:t>
      </w:r>
      <w:r w:rsidRPr="00101D26">
        <w:rPr>
          <w:sz w:val="26"/>
          <w:szCs w:val="26"/>
          <w:rtl/>
        </w:rPr>
        <w:t xml:space="preserve"> נפסק כי האחוזים שנקבעו בעניין </w:t>
      </w:r>
      <w:proofErr w:type="spellStart"/>
      <w:r w:rsidRPr="00101D26">
        <w:rPr>
          <w:sz w:val="26"/>
          <w:szCs w:val="26"/>
          <w:rtl/>
        </w:rPr>
        <w:t>רייכרט</w:t>
      </w:r>
      <w:proofErr w:type="spellEnd"/>
      <w:r w:rsidRPr="00101D26">
        <w:rPr>
          <w:sz w:val="26"/>
          <w:szCs w:val="26"/>
          <w:rtl/>
        </w:rPr>
        <w:t xml:space="preserve"> מהווים את התקרה </w:t>
      </w:r>
      <w:r w:rsidRPr="00545933">
        <w:rPr>
          <w:sz w:val="26"/>
          <w:szCs w:val="26"/>
          <w:rtl/>
        </w:rPr>
        <w:t xml:space="preserve">המרבית לפסיקת שכר הטרחה והגמול. בנוסף, המדרגות נקבעו גם בהתחשב </w:t>
      </w:r>
      <w:proofErr w:type="spellStart"/>
      <w:r w:rsidRPr="00545933">
        <w:rPr>
          <w:sz w:val="26"/>
          <w:szCs w:val="26"/>
          <w:rtl/>
        </w:rPr>
        <w:t>ב</w:t>
      </w:r>
      <w:r w:rsidR="0012163E" w:rsidRPr="00545933">
        <w:rPr>
          <w:sz w:val="26"/>
          <w:szCs w:val="26"/>
          <w:rtl/>
        </w:rPr>
        <w:t>תנ"ג</w:t>
      </w:r>
      <w:proofErr w:type="spellEnd"/>
      <w:r w:rsidR="0012163E" w:rsidRPr="00545933">
        <w:rPr>
          <w:sz w:val="26"/>
          <w:szCs w:val="26"/>
          <w:rtl/>
        </w:rPr>
        <w:t xml:space="preserve"> (מחוזי מרכז) 10466-09-12 </w:t>
      </w:r>
      <w:proofErr w:type="spellStart"/>
      <w:r w:rsidR="0012163E" w:rsidRPr="00545933">
        <w:rPr>
          <w:sz w:val="26"/>
          <w:szCs w:val="26"/>
          <w:rtl/>
        </w:rPr>
        <w:t>אוסטרובסקי</w:t>
      </w:r>
      <w:proofErr w:type="spellEnd"/>
      <w:r w:rsidR="0012163E" w:rsidRPr="00545933">
        <w:rPr>
          <w:sz w:val="26"/>
          <w:szCs w:val="26"/>
          <w:rtl/>
        </w:rPr>
        <w:t xml:space="preserve"> ואח' נ' חברת השקעות דיסקונט בע"מ (</w:t>
      </w:r>
      <w:r w:rsidR="0024017C" w:rsidRPr="00545933">
        <w:rPr>
          <w:sz w:val="26"/>
          <w:szCs w:val="26"/>
          <w:rtl/>
        </w:rPr>
        <w:t xml:space="preserve">פורסם </w:t>
      </w:r>
      <w:proofErr w:type="spellStart"/>
      <w:r w:rsidR="0024017C" w:rsidRPr="00545933">
        <w:rPr>
          <w:sz w:val="26"/>
          <w:szCs w:val="26"/>
          <w:rtl/>
        </w:rPr>
        <w:t>באר"ש</w:t>
      </w:r>
      <w:proofErr w:type="spellEnd"/>
      <w:r w:rsidR="0024017C" w:rsidRPr="00545933">
        <w:rPr>
          <w:sz w:val="26"/>
          <w:szCs w:val="26"/>
          <w:rtl/>
        </w:rPr>
        <w:t>,</w:t>
      </w:r>
      <w:r w:rsidR="0012163E" w:rsidRPr="00545933">
        <w:rPr>
          <w:sz w:val="26"/>
          <w:szCs w:val="26"/>
          <w:rtl/>
        </w:rPr>
        <w:t xml:space="preserve"> 11.2.2018)</w:t>
      </w:r>
      <w:r w:rsidR="0012163E" w:rsidRPr="00545933">
        <w:rPr>
          <w:rFonts w:hint="cs"/>
          <w:sz w:val="26"/>
          <w:szCs w:val="26"/>
          <w:rtl/>
        </w:rPr>
        <w:t xml:space="preserve"> </w:t>
      </w:r>
      <w:proofErr w:type="spellStart"/>
      <w:r w:rsidR="0012163E" w:rsidRPr="00545933">
        <w:rPr>
          <w:rFonts w:hint="cs"/>
          <w:sz w:val="26"/>
          <w:szCs w:val="26"/>
          <w:rtl/>
        </w:rPr>
        <w:t>וב</w:t>
      </w:r>
      <w:r w:rsidR="0012163E" w:rsidRPr="00545933">
        <w:rPr>
          <w:sz w:val="26"/>
          <w:szCs w:val="26"/>
          <w:rtl/>
        </w:rPr>
        <w:t>ת"צ</w:t>
      </w:r>
      <w:proofErr w:type="spellEnd"/>
      <w:r w:rsidR="0012163E" w:rsidRPr="00545933">
        <w:rPr>
          <w:sz w:val="26"/>
          <w:szCs w:val="26"/>
          <w:rtl/>
        </w:rPr>
        <w:t xml:space="preserve"> (מחוזי ת"א) 44598-12-12 ישראל גרינברג נ' מיטב דש גמל ופנסיה בע"מ (</w:t>
      </w:r>
      <w:r w:rsidR="0024017C" w:rsidRPr="00545933">
        <w:rPr>
          <w:sz w:val="26"/>
          <w:szCs w:val="26"/>
          <w:rtl/>
        </w:rPr>
        <w:t xml:space="preserve">פורסם </w:t>
      </w:r>
      <w:proofErr w:type="spellStart"/>
      <w:r w:rsidR="0024017C" w:rsidRPr="00545933">
        <w:rPr>
          <w:sz w:val="26"/>
          <w:szCs w:val="26"/>
          <w:rtl/>
        </w:rPr>
        <w:t>באר"ש</w:t>
      </w:r>
      <w:proofErr w:type="spellEnd"/>
      <w:r w:rsidR="0024017C" w:rsidRPr="00545933">
        <w:rPr>
          <w:sz w:val="26"/>
          <w:szCs w:val="26"/>
          <w:rtl/>
        </w:rPr>
        <w:t>,</w:t>
      </w:r>
      <w:r w:rsidR="0012163E" w:rsidRPr="00545933">
        <w:rPr>
          <w:sz w:val="26"/>
          <w:szCs w:val="26"/>
          <w:rtl/>
        </w:rPr>
        <w:t xml:space="preserve"> 25.8.2021)</w:t>
      </w:r>
      <w:r w:rsidR="0012163E" w:rsidRPr="00545933">
        <w:rPr>
          <w:rFonts w:hint="cs"/>
          <w:sz w:val="26"/>
          <w:szCs w:val="26"/>
          <w:rtl/>
        </w:rPr>
        <w:t xml:space="preserve">. </w:t>
      </w:r>
      <w:r w:rsidR="00D95E62" w:rsidRPr="00545933">
        <w:rPr>
          <w:rFonts w:hint="cs"/>
          <w:sz w:val="26"/>
          <w:szCs w:val="26"/>
          <w:rtl/>
        </w:rPr>
        <w:t>יובהר כי סכומי שכר הטרחה והגמול ישולמו על ידי הנתבע בנוסף לסעד שניתן לחברי הקבוצה ולא מתוכו.</w:t>
      </w:r>
    </w:p>
    <w:p w14:paraId="1ED09E0B" w14:textId="69629E4F" w:rsidR="001362DA" w:rsidRPr="00545933" w:rsidRDefault="001362DA" w:rsidP="006B4C3D">
      <w:pPr>
        <w:tabs>
          <w:tab w:val="left" w:pos="1020"/>
        </w:tabs>
        <w:autoSpaceDE w:val="0"/>
        <w:autoSpaceDN w:val="0"/>
        <w:adjustRightInd w:val="0"/>
        <w:snapToGrid w:val="0"/>
        <w:ind w:left="0"/>
        <w:contextualSpacing w:val="0"/>
        <w:textAlignment w:val="center"/>
        <w:rPr>
          <w:sz w:val="26"/>
          <w:szCs w:val="26"/>
          <w:rtl/>
        </w:rPr>
      </w:pPr>
      <w:r w:rsidRPr="00545933">
        <w:rPr>
          <w:rFonts w:hint="cs"/>
          <w:sz w:val="26"/>
          <w:szCs w:val="26"/>
          <w:rtl/>
        </w:rPr>
        <w:t>עוד מוצע להבהיר בפרט 2 לתוספת החמישית לחוק כי סכום הפיצוי שממנו ייגזרו שכר הטרחה והגמול, יכלול רק את הסכום שיועבר כפיצוי ולא יכלול את הגמול ושכר</w:t>
      </w:r>
      <w:r>
        <w:rPr>
          <w:rFonts w:hint="cs"/>
          <w:sz w:val="26"/>
          <w:szCs w:val="26"/>
          <w:rtl/>
        </w:rPr>
        <w:t xml:space="preserve"> הטרחה. כלומר, לפי שיטת "הנטו", זאת בהתאם </w:t>
      </w:r>
      <w:r w:rsidRPr="00545933">
        <w:rPr>
          <w:rFonts w:hint="cs"/>
          <w:sz w:val="26"/>
          <w:szCs w:val="26"/>
          <w:rtl/>
        </w:rPr>
        <w:t>למקובל כיום</w:t>
      </w:r>
      <w:r w:rsidR="00D91CC2" w:rsidRPr="00545933">
        <w:rPr>
          <w:rFonts w:hint="cs"/>
          <w:sz w:val="26"/>
          <w:szCs w:val="26"/>
          <w:rtl/>
        </w:rPr>
        <w:t xml:space="preserve"> וכפי שנפסק בהלכת שוורצמן</w:t>
      </w:r>
      <w:r w:rsidRPr="00545933">
        <w:rPr>
          <w:rFonts w:hint="cs"/>
          <w:sz w:val="26"/>
          <w:szCs w:val="26"/>
          <w:rtl/>
        </w:rPr>
        <w:t>.</w:t>
      </w:r>
    </w:p>
    <w:p w14:paraId="4C660178" w14:textId="5CB6621F" w:rsidR="00A30435" w:rsidRPr="00545933" w:rsidRDefault="00A30435" w:rsidP="00A30435">
      <w:pPr>
        <w:tabs>
          <w:tab w:val="left" w:pos="1020"/>
        </w:tabs>
        <w:autoSpaceDE w:val="0"/>
        <w:autoSpaceDN w:val="0"/>
        <w:adjustRightInd w:val="0"/>
        <w:snapToGrid w:val="0"/>
        <w:ind w:left="0"/>
        <w:contextualSpacing w:val="0"/>
        <w:textAlignment w:val="center"/>
        <w:rPr>
          <w:sz w:val="26"/>
          <w:szCs w:val="26"/>
          <w:rtl/>
        </w:rPr>
      </w:pPr>
      <w:r w:rsidRPr="00545933">
        <w:rPr>
          <w:rFonts w:hint="cs"/>
          <w:sz w:val="26"/>
          <w:szCs w:val="26"/>
          <w:rtl/>
        </w:rPr>
        <w:t>עוד מוצע לקבוע בסעיף 23(ב) כי במקרה שבו הפיצוי לטובת הקבוצה, כולה או חלקה יינתן בדרך של סעד אחר, שאינו כספי, כמפורט בסעיף 20(א)</w:t>
      </w:r>
      <w:r w:rsidR="00DF7044" w:rsidRPr="00545933">
        <w:rPr>
          <w:rFonts w:hint="cs"/>
          <w:sz w:val="26"/>
          <w:szCs w:val="26"/>
          <w:rtl/>
        </w:rPr>
        <w:t>(2)</w:t>
      </w:r>
      <w:r w:rsidRPr="00545933">
        <w:rPr>
          <w:rFonts w:hint="cs"/>
          <w:sz w:val="26"/>
          <w:szCs w:val="26"/>
          <w:rtl/>
        </w:rPr>
        <w:t xml:space="preserve"> ובסעיף 20(ג)(2), בית המשפט יפסוק את הגמול ושכר הטרחה בהתאם לשיעורים הקבועים בתוספת החמישית </w:t>
      </w:r>
      <w:r w:rsidR="003C28B6" w:rsidRPr="00545933">
        <w:rPr>
          <w:rFonts w:hint="cs"/>
          <w:sz w:val="26"/>
          <w:szCs w:val="26"/>
          <w:rtl/>
        </w:rPr>
        <w:t>שייגזרו מ</w:t>
      </w:r>
      <w:r w:rsidRPr="00545933">
        <w:rPr>
          <w:rFonts w:hint="cs"/>
          <w:sz w:val="26"/>
          <w:szCs w:val="26"/>
          <w:rtl/>
        </w:rPr>
        <w:t>הסכום שהציעו הצדדים כפיצוי כספי אישי או כפיצוי כספי לקרן. כלומר, בין אם נפסק בתובענה הייצוגית פיצוי כספי</w:t>
      </w:r>
      <w:r>
        <w:rPr>
          <w:rFonts w:hint="cs"/>
          <w:sz w:val="26"/>
          <w:szCs w:val="26"/>
          <w:rtl/>
        </w:rPr>
        <w:t xml:space="preserve"> או סעד אחר שאינו כספי, הגמול ושכר הטרחה ייגזרו רק מסכום הפיצוי הכספי שאותו הציעו הצדדים כפיצוי כספי אישי או כפיצוי כספי לקרן. זאת, מכיוון שכפי שצוין לעיל, בסעד בעין יש פער בין </w:t>
      </w:r>
      <w:r w:rsidRPr="0062265F">
        <w:rPr>
          <w:rFonts w:hint="cs"/>
          <w:sz w:val="26"/>
          <w:szCs w:val="26"/>
          <w:rtl/>
        </w:rPr>
        <w:t>העלות של הסדר הפשרה לנתבע לבין השווי של הסדר הפשרה לחברי הקבוצה והסכום המוצג כפיצוי במסגרת הסדר הפשרה הוא אינו הסכום הממשי שהנתבע צפוי לשאת בו</w:t>
      </w:r>
      <w:r>
        <w:rPr>
          <w:rFonts w:hint="cs"/>
          <w:sz w:val="26"/>
          <w:szCs w:val="26"/>
          <w:rtl/>
        </w:rPr>
        <w:t xml:space="preserve">. </w:t>
      </w:r>
      <w:r w:rsidRPr="0062265F">
        <w:rPr>
          <w:rFonts w:hint="cs"/>
          <w:sz w:val="26"/>
          <w:szCs w:val="26"/>
          <w:rtl/>
        </w:rPr>
        <w:t xml:space="preserve">הערכת השווי לכל אחד מחברי הקבוצה היא בחינה מסובכת ובמקרים רבים אינה אפשרית. לעומת זאת, הערכת עלות הסדר הפשרה לנתבע היא אפשרית ומאפשרת להתקרב לערכה האמיתי של הפשרה. בנוסף, יש לבחון את הסעד לא רק מנקודת המבט של חברי הקבוצה אלא גם מנקודת המבט של הנתבע שכן תכלית נוספת </w:t>
      </w:r>
      <w:r w:rsidRPr="0062265F">
        <w:rPr>
          <w:sz w:val="26"/>
          <w:szCs w:val="26"/>
          <w:rtl/>
        </w:rPr>
        <w:t>שהתובענה הייצוגית נועדה לשרת היא</w:t>
      </w:r>
      <w:r w:rsidRPr="0062265F">
        <w:rPr>
          <w:rFonts w:hint="cs"/>
          <w:sz w:val="26"/>
          <w:szCs w:val="26"/>
          <w:rtl/>
        </w:rPr>
        <w:t xml:space="preserve"> </w:t>
      </w:r>
      <w:r w:rsidRPr="0062265F">
        <w:rPr>
          <w:sz w:val="26"/>
          <w:szCs w:val="26"/>
          <w:rtl/>
        </w:rPr>
        <w:t xml:space="preserve">אכיפת הדין </w:t>
      </w:r>
      <w:r w:rsidRPr="003C074D">
        <w:rPr>
          <w:sz w:val="26"/>
          <w:szCs w:val="26"/>
          <w:rtl/>
        </w:rPr>
        <w:t>הקיים והרתעה מפני הפרות חוק עתידיות (סעיף 1</w:t>
      </w:r>
      <w:r w:rsidRPr="005816CA">
        <w:rPr>
          <w:rFonts w:hint="cs"/>
          <w:sz w:val="26"/>
          <w:szCs w:val="26"/>
          <w:rtl/>
        </w:rPr>
        <w:t>(2)</w:t>
      </w:r>
      <w:r w:rsidRPr="005816CA">
        <w:rPr>
          <w:sz w:val="26"/>
          <w:szCs w:val="26"/>
          <w:rtl/>
        </w:rPr>
        <w:t xml:space="preserve"> לחוק)</w:t>
      </w:r>
      <w:r w:rsidRPr="005816CA">
        <w:rPr>
          <w:rFonts w:hint="cs"/>
          <w:sz w:val="26"/>
          <w:szCs w:val="26"/>
          <w:rtl/>
        </w:rPr>
        <w:t xml:space="preserve">. לכן, מעבר לקושי היישומי בהערכת שווי הפשרה, במקרים אלו יש גם הצדקה נורמטיבית לבחון את ערכו של הפיצוי לקבוצה לפי עלותו לנתבע. בהקשר זה ראו למשל בהלכת שוורצמן, </w:t>
      </w:r>
      <w:r w:rsidRPr="0081673D">
        <w:rPr>
          <w:rFonts w:hint="cs"/>
          <w:sz w:val="26"/>
          <w:szCs w:val="26"/>
          <w:rtl/>
        </w:rPr>
        <w:t>בסעיף 50</w:t>
      </w:r>
      <w:r w:rsidR="00015C81">
        <w:rPr>
          <w:rFonts w:hint="cs"/>
          <w:sz w:val="26"/>
          <w:szCs w:val="26"/>
          <w:rtl/>
        </w:rPr>
        <w:t>,</w:t>
      </w:r>
      <w:r w:rsidRPr="0081673D">
        <w:rPr>
          <w:rFonts w:hint="cs"/>
          <w:sz w:val="26"/>
          <w:szCs w:val="26"/>
          <w:rtl/>
        </w:rPr>
        <w:t xml:space="preserve"> שם הודגש שכאשר </w:t>
      </w:r>
      <w:r w:rsidRPr="001E7D2B">
        <w:rPr>
          <w:color w:val="000000"/>
          <w:sz w:val="26"/>
          <w:szCs w:val="26"/>
          <w:rtl/>
        </w:rPr>
        <w:t xml:space="preserve">מיישמים את שיטת האחוזים ביחס לסעד הניתן לכימות </w:t>
      </w:r>
      <w:r w:rsidRPr="001E7D2B">
        <w:rPr>
          <w:color w:val="000000"/>
          <w:sz w:val="26"/>
          <w:szCs w:val="26"/>
          <w:rtl/>
        </w:rPr>
        <w:lastRenderedPageBreak/>
        <w:t xml:space="preserve">כספי, ובכלל זה הסדרי הנחה או הסדרי קופונים, יש להקפיד כי מלאכת הכימות תעשה על פי תחשיב כלכלי המביא בחשבון </w:t>
      </w:r>
      <w:r w:rsidRPr="001E7D2B">
        <w:rPr>
          <w:rFonts w:hint="eastAsia"/>
          <w:color w:val="000000"/>
          <w:sz w:val="26"/>
          <w:szCs w:val="26"/>
          <w:rtl/>
        </w:rPr>
        <w:t>גם</w:t>
      </w:r>
      <w:r w:rsidRPr="001E7D2B">
        <w:rPr>
          <w:color w:val="000000"/>
          <w:sz w:val="26"/>
          <w:szCs w:val="26"/>
          <w:rtl/>
        </w:rPr>
        <w:t xml:space="preserve"> את העלות הכלכלית של מתן הסעד מבחינת הנתבע (להבדיל ממחירו לציבור).</w:t>
      </w:r>
      <w:r w:rsidRPr="003C074D">
        <w:rPr>
          <w:rFonts w:hint="cs"/>
          <w:sz w:val="26"/>
          <w:szCs w:val="26"/>
          <w:rtl/>
        </w:rPr>
        <w:t xml:space="preserve"> עם זאת, קיים קושי משמעותי לבחון את העלות של הסעד לנתבע </w:t>
      </w:r>
      <w:r>
        <w:rPr>
          <w:rFonts w:hint="cs"/>
          <w:sz w:val="26"/>
          <w:szCs w:val="26"/>
          <w:rtl/>
        </w:rPr>
        <w:t xml:space="preserve">וההנחה היא שממילא הסכום שהנתבע הצהיר שהוא יפצה את חברי הקבוצה כפיצוי כספי (במקרה שזה מעשי לאתר את חברי הקבוצה) או כפיצוי לקרן לחלוקת כספים (ככל שלא מעשי לאתר את חברי הקבוצה) הוא סכום הקרוב לעלות בפועל שאותו הנתבע נכון לשאת ואשר ממנו נכון לקבוע את התגמול למייצגים. </w:t>
      </w:r>
      <w:r w:rsidRPr="0062265F">
        <w:rPr>
          <w:rFonts w:hint="cs"/>
          <w:sz w:val="26"/>
          <w:szCs w:val="26"/>
          <w:rtl/>
        </w:rPr>
        <w:t xml:space="preserve">פתרון זה ייתר, כאמור, את הצורך לכמת את העלות לנתבע </w:t>
      </w:r>
      <w:r>
        <w:rPr>
          <w:rFonts w:hint="cs"/>
          <w:sz w:val="26"/>
          <w:szCs w:val="26"/>
          <w:rtl/>
        </w:rPr>
        <w:t xml:space="preserve">ויסייע בהתמודדות עם הקשיים </w:t>
      </w:r>
      <w:r w:rsidRPr="00545933">
        <w:rPr>
          <w:rFonts w:hint="cs"/>
          <w:sz w:val="26"/>
          <w:szCs w:val="26"/>
          <w:rtl/>
        </w:rPr>
        <w:t xml:space="preserve">הקיימים עם סעד בעין תוך שימנע ניסיונות של הצדדים </w:t>
      </w:r>
      <w:r w:rsidR="00015C81" w:rsidRPr="00545933">
        <w:rPr>
          <w:rFonts w:hint="cs"/>
          <w:sz w:val="26"/>
          <w:szCs w:val="26"/>
          <w:rtl/>
        </w:rPr>
        <w:t xml:space="preserve">להגדיל </w:t>
      </w:r>
      <w:r w:rsidRPr="00545933">
        <w:rPr>
          <w:rFonts w:hint="cs"/>
          <w:sz w:val="26"/>
          <w:szCs w:val="26"/>
          <w:rtl/>
        </w:rPr>
        <w:t>בצורה מלאכותית את שווי הפיצוי לחברי הקבוצה על מנת להגדיל את שכר הטרחה והגמול.</w:t>
      </w:r>
    </w:p>
    <w:p w14:paraId="1CA1FC36" w14:textId="67C29268" w:rsidR="002E2602" w:rsidRPr="002468BC" w:rsidRDefault="000B630D" w:rsidP="00896309">
      <w:pPr>
        <w:tabs>
          <w:tab w:val="left" w:pos="1020"/>
        </w:tabs>
        <w:autoSpaceDE w:val="0"/>
        <w:autoSpaceDN w:val="0"/>
        <w:adjustRightInd w:val="0"/>
        <w:snapToGrid w:val="0"/>
        <w:ind w:left="0"/>
        <w:contextualSpacing w:val="0"/>
        <w:textAlignment w:val="center"/>
        <w:rPr>
          <w:sz w:val="26"/>
          <w:szCs w:val="26"/>
          <w:rtl/>
        </w:rPr>
      </w:pPr>
      <w:r w:rsidRPr="00545933">
        <w:rPr>
          <w:rFonts w:hint="cs"/>
          <w:sz w:val="26"/>
          <w:szCs w:val="26"/>
          <w:rtl/>
        </w:rPr>
        <w:t>בסעיף 23(</w:t>
      </w:r>
      <w:r w:rsidR="00A30435" w:rsidRPr="00545933">
        <w:rPr>
          <w:rFonts w:hint="cs"/>
          <w:sz w:val="26"/>
          <w:szCs w:val="26"/>
          <w:rtl/>
        </w:rPr>
        <w:t>ג</w:t>
      </w:r>
      <w:r w:rsidRPr="00545933">
        <w:rPr>
          <w:rFonts w:hint="cs"/>
          <w:sz w:val="26"/>
          <w:szCs w:val="26"/>
          <w:rtl/>
        </w:rPr>
        <w:t>) מוצע לקבוע</w:t>
      </w:r>
      <w:r w:rsidR="002E2602" w:rsidRPr="00545933">
        <w:rPr>
          <w:sz w:val="26"/>
          <w:szCs w:val="26"/>
          <w:rtl/>
        </w:rPr>
        <w:t xml:space="preserve"> כי לבית המשפט תהיה סמכות לסטות מהאחוזים הקבועים בפרט </w:t>
      </w:r>
      <w:r w:rsidR="000A5D14" w:rsidRPr="00545933">
        <w:rPr>
          <w:rFonts w:hint="cs"/>
          <w:sz w:val="26"/>
          <w:szCs w:val="26"/>
          <w:rtl/>
        </w:rPr>
        <w:t>2</w:t>
      </w:r>
      <w:r w:rsidR="002E2602" w:rsidRPr="00545933">
        <w:rPr>
          <w:sz w:val="26"/>
          <w:szCs w:val="26"/>
          <w:rtl/>
        </w:rPr>
        <w:t xml:space="preserve"> לתוספת החמישית וזאת בשיעור מקסימאלי אשר ייקבע בפרט </w:t>
      </w:r>
      <w:r w:rsidR="000A5D14" w:rsidRPr="00545933">
        <w:rPr>
          <w:rFonts w:hint="cs"/>
          <w:sz w:val="26"/>
          <w:szCs w:val="26"/>
          <w:rtl/>
        </w:rPr>
        <w:t>3</w:t>
      </w:r>
      <w:r w:rsidR="002E2602" w:rsidRPr="00545933">
        <w:rPr>
          <w:sz w:val="26"/>
          <w:szCs w:val="26"/>
          <w:rtl/>
        </w:rPr>
        <w:t xml:space="preserve"> לתוספת החמישית ואשר מוצע להעמידו על 2% (</w:t>
      </w:r>
      <w:r w:rsidR="00015C81" w:rsidRPr="00545933">
        <w:rPr>
          <w:rFonts w:hint="cs"/>
          <w:sz w:val="26"/>
          <w:szCs w:val="26"/>
          <w:rtl/>
        </w:rPr>
        <w:t xml:space="preserve">סטייה </w:t>
      </w:r>
      <w:r w:rsidR="002E2602" w:rsidRPr="00545933">
        <w:rPr>
          <w:sz w:val="26"/>
          <w:szCs w:val="26"/>
          <w:rtl/>
        </w:rPr>
        <w:t>הן למעלה והן למטה), וזאת בהתאם לשיקולים אשר מוצע לקבוע בפסקאות</w:t>
      </w:r>
      <w:r w:rsidR="002E2602" w:rsidRPr="00101D26">
        <w:rPr>
          <w:sz w:val="26"/>
          <w:szCs w:val="26"/>
          <w:rtl/>
        </w:rPr>
        <w:t xml:space="preserve"> (1) עד (4) לסעיף קטן (ב). שיקולים אלו מבוססים במידה רבה על השיקולים הקבועים היום בסעיפים 22(ב) ו-23(ב) והם: מורכבות ההליך, הטרחה שטרח התובע המייצג ובא הכוח המייצג והסיכון שנטלו בהגשת התובענה הייצוגית ובניהולה; התועלת שהביאה התובענה הייצוגית לחברי הקבוצה; מידת החשיבות הציבורית של התובענה הייצוגית</w:t>
      </w:r>
      <w:r w:rsidR="00896309">
        <w:rPr>
          <w:rFonts w:hint="cs"/>
          <w:sz w:val="26"/>
          <w:szCs w:val="26"/>
          <w:rtl/>
        </w:rPr>
        <w:t>, כאשר בעניין זה בית המשפט גם יוכל לשקול אינטרס ציבורי שהוא מעבר לאינטרס הצר של חברי הקבוצה</w:t>
      </w:r>
      <w:r w:rsidR="002E2602" w:rsidRPr="00101D26">
        <w:rPr>
          <w:sz w:val="26"/>
          <w:szCs w:val="26"/>
          <w:rtl/>
        </w:rPr>
        <w:t>. בנוסף, מוצע לעגן בחקיקה את השיקול שנקבע בפסיקה הנוגע לכך ש</w:t>
      </w:r>
      <w:r w:rsidR="00DF7044">
        <w:rPr>
          <w:rFonts w:hint="cs"/>
          <w:sz w:val="26"/>
          <w:szCs w:val="26"/>
          <w:rtl/>
        </w:rPr>
        <w:t xml:space="preserve">יש להפחית את שכר הטרחה כאשר </w:t>
      </w:r>
      <w:r w:rsidR="002E2602" w:rsidRPr="00101D26">
        <w:rPr>
          <w:sz w:val="26"/>
          <w:szCs w:val="26"/>
          <w:rtl/>
        </w:rPr>
        <w:t xml:space="preserve">הנתבע הוא רשות ציבורית כך ששכר הטרחה משולם מהקופה הציבורית (ראו למשל </w:t>
      </w:r>
      <w:proofErr w:type="spellStart"/>
      <w:r w:rsidR="00291A30" w:rsidRPr="00291A30">
        <w:rPr>
          <w:sz w:val="26"/>
          <w:szCs w:val="26"/>
          <w:rtl/>
        </w:rPr>
        <w:t>עע"מ</w:t>
      </w:r>
      <w:proofErr w:type="spellEnd"/>
      <w:r w:rsidR="00291A30" w:rsidRPr="00291A30">
        <w:rPr>
          <w:sz w:val="26"/>
          <w:szCs w:val="26"/>
          <w:rtl/>
        </w:rPr>
        <w:t xml:space="preserve"> 603/24 עיריית ראשון לציון נ' ציונה נחום (</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00291A30" w:rsidRPr="00291A30">
        <w:rPr>
          <w:sz w:val="26"/>
          <w:szCs w:val="26"/>
          <w:rtl/>
        </w:rPr>
        <w:t xml:space="preserve"> 25.03.2024)</w:t>
      </w:r>
      <w:r w:rsidR="00DF7044">
        <w:rPr>
          <w:rFonts w:hint="cs"/>
          <w:sz w:val="26"/>
          <w:szCs w:val="26"/>
          <w:rtl/>
        </w:rPr>
        <w:t xml:space="preserve"> </w:t>
      </w:r>
      <w:proofErr w:type="spellStart"/>
      <w:r w:rsidR="00DF7044">
        <w:rPr>
          <w:rFonts w:hint="cs"/>
          <w:sz w:val="26"/>
          <w:szCs w:val="26"/>
          <w:rtl/>
        </w:rPr>
        <w:t>ועע"מ</w:t>
      </w:r>
      <w:proofErr w:type="spellEnd"/>
      <w:r w:rsidR="00DF7044">
        <w:rPr>
          <w:rFonts w:hint="cs"/>
          <w:sz w:val="26"/>
          <w:szCs w:val="26"/>
          <w:rtl/>
        </w:rPr>
        <w:t xml:space="preserve"> 818/24 עיריית רמת גן נ' אביעד </w:t>
      </w:r>
      <w:proofErr w:type="spellStart"/>
      <w:r w:rsidR="00DF7044">
        <w:rPr>
          <w:rFonts w:hint="cs"/>
          <w:sz w:val="26"/>
          <w:szCs w:val="26"/>
          <w:rtl/>
        </w:rPr>
        <w:t>טאוב</w:t>
      </w:r>
      <w:proofErr w:type="spellEnd"/>
      <w:r w:rsidR="00DF7044">
        <w:rPr>
          <w:rFonts w:hint="cs"/>
          <w:sz w:val="26"/>
          <w:szCs w:val="26"/>
          <w:rtl/>
        </w:rPr>
        <w:t xml:space="preserve"> (</w:t>
      </w:r>
      <w:r w:rsidR="0024017C">
        <w:rPr>
          <w:rFonts w:hint="cs"/>
          <w:sz w:val="26"/>
          <w:szCs w:val="26"/>
          <w:rtl/>
        </w:rPr>
        <w:t xml:space="preserve">פורסם </w:t>
      </w:r>
      <w:proofErr w:type="spellStart"/>
      <w:r w:rsidR="0024017C">
        <w:rPr>
          <w:rFonts w:hint="cs"/>
          <w:sz w:val="26"/>
          <w:szCs w:val="26"/>
          <w:rtl/>
        </w:rPr>
        <w:t>באר</w:t>
      </w:r>
      <w:r w:rsidR="0024017C">
        <w:rPr>
          <w:sz w:val="26"/>
          <w:szCs w:val="26"/>
          <w:rtl/>
        </w:rPr>
        <w:t>"</w:t>
      </w:r>
      <w:r w:rsidR="0024017C">
        <w:rPr>
          <w:rFonts w:hint="cs"/>
          <w:sz w:val="26"/>
          <w:szCs w:val="26"/>
          <w:rtl/>
        </w:rPr>
        <w:t>ש</w:t>
      </w:r>
      <w:proofErr w:type="spellEnd"/>
      <w:r w:rsidR="0024017C">
        <w:rPr>
          <w:rFonts w:hint="cs"/>
          <w:sz w:val="26"/>
          <w:szCs w:val="26"/>
          <w:rtl/>
        </w:rPr>
        <w:t>,</w:t>
      </w:r>
      <w:r w:rsidR="00DF7044">
        <w:rPr>
          <w:rFonts w:hint="cs"/>
          <w:sz w:val="26"/>
          <w:szCs w:val="26"/>
          <w:rtl/>
        </w:rPr>
        <w:t xml:space="preserve"> 10.4.2024)</w:t>
      </w:r>
      <w:r w:rsidR="00291A30">
        <w:rPr>
          <w:rFonts w:hint="cs"/>
          <w:sz w:val="26"/>
          <w:szCs w:val="26"/>
          <w:rtl/>
        </w:rPr>
        <w:t>.</w:t>
      </w:r>
      <w:r w:rsidR="00B5003E" w:rsidRPr="00B5003E">
        <w:rPr>
          <w:rFonts w:hint="cs"/>
          <w:sz w:val="26"/>
          <w:szCs w:val="26"/>
          <w:rtl/>
        </w:rPr>
        <w:t xml:space="preserve"> </w:t>
      </w:r>
      <w:r w:rsidR="00B5003E">
        <w:rPr>
          <w:rFonts w:hint="cs"/>
          <w:sz w:val="26"/>
          <w:szCs w:val="26"/>
          <w:rtl/>
        </w:rPr>
        <w:t xml:space="preserve">יצוין כי הצדדים יוכלו </w:t>
      </w:r>
      <w:r w:rsidR="001678A3">
        <w:rPr>
          <w:rFonts w:hint="cs"/>
          <w:sz w:val="26"/>
          <w:szCs w:val="26"/>
          <w:rtl/>
        </w:rPr>
        <w:t xml:space="preserve">לבקש מבית המשפט </w:t>
      </w:r>
      <w:r w:rsidR="001678A3" w:rsidRPr="002468BC">
        <w:rPr>
          <w:rFonts w:hint="cs"/>
          <w:sz w:val="26"/>
          <w:szCs w:val="26"/>
          <w:rtl/>
        </w:rPr>
        <w:t xml:space="preserve">לטעון </w:t>
      </w:r>
      <w:r w:rsidR="00B5003E" w:rsidRPr="002468BC">
        <w:rPr>
          <w:rFonts w:hint="cs"/>
          <w:sz w:val="26"/>
          <w:szCs w:val="26"/>
          <w:rtl/>
        </w:rPr>
        <w:t xml:space="preserve">בכל הנוגע לאפשרות לסטות מהאחוזים בשיעור של 2% למעלה ולמטה בהתאם לשיקולים הקבועים בחוק (ראו לעניין זה </w:t>
      </w:r>
      <w:r w:rsidR="00B5003E" w:rsidRPr="002468BC">
        <w:rPr>
          <w:rFonts w:hint="eastAsia"/>
          <w:sz w:val="26"/>
          <w:szCs w:val="26"/>
          <w:rtl/>
        </w:rPr>
        <w:t>סעיף</w:t>
      </w:r>
      <w:r w:rsidR="00B5003E" w:rsidRPr="002468BC">
        <w:rPr>
          <w:sz w:val="26"/>
          <w:szCs w:val="26"/>
          <w:rtl/>
        </w:rPr>
        <w:t xml:space="preserve"> 23(ג) </w:t>
      </w:r>
      <w:r w:rsidR="00B5003E" w:rsidRPr="002468BC">
        <w:rPr>
          <w:rFonts w:hint="eastAsia"/>
          <w:sz w:val="26"/>
          <w:szCs w:val="26"/>
          <w:rtl/>
        </w:rPr>
        <w:t>המוצע</w:t>
      </w:r>
      <w:r w:rsidR="00B5003E" w:rsidRPr="002468BC">
        <w:rPr>
          <w:rFonts w:hint="cs"/>
          <w:sz w:val="26"/>
          <w:szCs w:val="26"/>
          <w:rtl/>
        </w:rPr>
        <w:t xml:space="preserve">) וכן לעניין קביעת הגמול ושכר הטרחה במקרה של תביעה לצו עשה (ראו לעניין זה </w:t>
      </w:r>
      <w:r w:rsidR="00B5003E" w:rsidRPr="002468BC">
        <w:rPr>
          <w:rFonts w:hint="eastAsia"/>
          <w:sz w:val="26"/>
          <w:szCs w:val="26"/>
          <w:rtl/>
        </w:rPr>
        <w:t>סעיף</w:t>
      </w:r>
      <w:r w:rsidR="00B5003E" w:rsidRPr="002468BC">
        <w:rPr>
          <w:sz w:val="26"/>
          <w:szCs w:val="26"/>
          <w:rtl/>
        </w:rPr>
        <w:t xml:space="preserve"> 23(ח) </w:t>
      </w:r>
      <w:r w:rsidR="00B5003E" w:rsidRPr="002468BC">
        <w:rPr>
          <w:rFonts w:hint="eastAsia"/>
          <w:sz w:val="26"/>
          <w:szCs w:val="26"/>
          <w:rtl/>
        </w:rPr>
        <w:t>המוצע</w:t>
      </w:r>
      <w:r w:rsidR="00B5003E" w:rsidRPr="002468BC">
        <w:rPr>
          <w:rFonts w:hint="cs"/>
          <w:sz w:val="26"/>
          <w:szCs w:val="26"/>
          <w:rtl/>
        </w:rPr>
        <w:t>).</w:t>
      </w:r>
    </w:p>
    <w:p w14:paraId="052D307D" w14:textId="047BADC2" w:rsidR="00896E9F" w:rsidRPr="002468BC" w:rsidRDefault="000B630D" w:rsidP="006346C6">
      <w:pPr>
        <w:tabs>
          <w:tab w:val="left" w:pos="1020"/>
        </w:tabs>
        <w:autoSpaceDE w:val="0"/>
        <w:autoSpaceDN w:val="0"/>
        <w:adjustRightInd w:val="0"/>
        <w:snapToGrid w:val="0"/>
        <w:ind w:left="0"/>
        <w:contextualSpacing w:val="0"/>
        <w:textAlignment w:val="center"/>
        <w:rPr>
          <w:sz w:val="26"/>
          <w:szCs w:val="26"/>
          <w:rtl/>
        </w:rPr>
      </w:pPr>
      <w:r w:rsidRPr="002468BC">
        <w:rPr>
          <w:rFonts w:hint="eastAsia"/>
          <w:sz w:val="26"/>
          <w:szCs w:val="26"/>
          <w:rtl/>
        </w:rPr>
        <w:t>בסעיף</w:t>
      </w:r>
      <w:r w:rsidRPr="002468BC">
        <w:rPr>
          <w:sz w:val="26"/>
          <w:szCs w:val="26"/>
          <w:rtl/>
        </w:rPr>
        <w:t xml:space="preserve"> 23(</w:t>
      </w:r>
      <w:r w:rsidR="00A30435" w:rsidRPr="002468BC">
        <w:rPr>
          <w:rFonts w:hint="eastAsia"/>
          <w:sz w:val="26"/>
          <w:szCs w:val="26"/>
          <w:rtl/>
        </w:rPr>
        <w:t>ו</w:t>
      </w:r>
      <w:r w:rsidRPr="002468BC">
        <w:rPr>
          <w:sz w:val="26"/>
          <w:szCs w:val="26"/>
          <w:rtl/>
        </w:rPr>
        <w:t xml:space="preserve">)(1) </w:t>
      </w:r>
      <w:r w:rsidR="002E2602" w:rsidRPr="002468BC">
        <w:rPr>
          <w:sz w:val="26"/>
          <w:szCs w:val="26"/>
          <w:rtl/>
        </w:rPr>
        <w:t xml:space="preserve">מוצע לקבוע כי </w:t>
      </w:r>
      <w:r w:rsidR="00015C81" w:rsidRPr="002468BC">
        <w:rPr>
          <w:rFonts w:hint="cs"/>
          <w:sz w:val="26"/>
          <w:szCs w:val="26"/>
          <w:rtl/>
        </w:rPr>
        <w:t xml:space="preserve">באופן חריג, </w:t>
      </w:r>
      <w:r w:rsidR="002E2602" w:rsidRPr="002468BC">
        <w:rPr>
          <w:sz w:val="26"/>
          <w:szCs w:val="26"/>
          <w:rtl/>
        </w:rPr>
        <w:t>במקרים מיוחדים ומטעמים מיוחדים שיירשמו</w:t>
      </w:r>
      <w:r w:rsidR="00015C81" w:rsidRPr="002468BC">
        <w:rPr>
          <w:rFonts w:hint="cs"/>
          <w:sz w:val="26"/>
          <w:szCs w:val="26"/>
          <w:rtl/>
        </w:rPr>
        <w:t>,</w:t>
      </w:r>
      <w:r w:rsidR="002E2602" w:rsidRPr="002468BC">
        <w:rPr>
          <w:sz w:val="26"/>
          <w:szCs w:val="26"/>
          <w:rtl/>
        </w:rPr>
        <w:t xml:space="preserve"> בית המשפט יהיה רשאי לפסוק גמול למבקש או לתובע המייצג ושכר טרחה לבא כוחו שלא בהתאם </w:t>
      </w:r>
      <w:r w:rsidR="002E2602" w:rsidRPr="002468BC">
        <w:rPr>
          <w:rFonts w:hint="cs"/>
          <w:sz w:val="26"/>
          <w:szCs w:val="26"/>
          <w:rtl/>
        </w:rPr>
        <w:t>לשיעורים הקבועים</w:t>
      </w:r>
      <w:r w:rsidR="002E2602" w:rsidRPr="00545933">
        <w:rPr>
          <w:rFonts w:hint="cs"/>
          <w:sz w:val="26"/>
          <w:szCs w:val="26"/>
          <w:rtl/>
        </w:rPr>
        <w:t xml:space="preserve"> ב</w:t>
      </w:r>
      <w:r w:rsidR="002E2602" w:rsidRPr="00545933">
        <w:rPr>
          <w:sz w:val="26"/>
          <w:szCs w:val="26"/>
          <w:rtl/>
        </w:rPr>
        <w:t>תוספת החמישית לחוק</w:t>
      </w:r>
      <w:r w:rsidR="00B819B4">
        <w:rPr>
          <w:rFonts w:hint="cs"/>
          <w:sz w:val="26"/>
          <w:szCs w:val="26"/>
          <w:rtl/>
        </w:rPr>
        <w:t>, כלומר, סכום גבוה יותר,</w:t>
      </w:r>
      <w:r w:rsidR="002E2602" w:rsidRPr="00545933">
        <w:rPr>
          <w:sz w:val="26"/>
          <w:szCs w:val="26"/>
          <w:rtl/>
        </w:rPr>
        <w:t xml:space="preserve"> וזאת רק במקרים</w:t>
      </w:r>
      <w:r w:rsidR="00B819B4">
        <w:rPr>
          <w:rFonts w:hint="cs"/>
          <w:sz w:val="26"/>
          <w:szCs w:val="26"/>
          <w:rtl/>
        </w:rPr>
        <w:t xml:space="preserve"> חריגים</w:t>
      </w:r>
      <w:r w:rsidR="00B23771">
        <w:rPr>
          <w:rFonts w:hint="cs"/>
          <w:sz w:val="26"/>
          <w:szCs w:val="26"/>
          <w:rtl/>
        </w:rPr>
        <w:t xml:space="preserve"> מאד</w:t>
      </w:r>
      <w:r w:rsidR="002E2602" w:rsidRPr="00545933">
        <w:rPr>
          <w:sz w:val="26"/>
          <w:szCs w:val="26"/>
          <w:rtl/>
        </w:rPr>
        <w:t xml:space="preserve"> שבהם מדובר בתובענות ייצוגיות תקד</w:t>
      </w:r>
      <w:r w:rsidR="002E2602" w:rsidRPr="00545933">
        <w:rPr>
          <w:rFonts w:hint="cs"/>
          <w:sz w:val="26"/>
          <w:szCs w:val="26"/>
          <w:rtl/>
        </w:rPr>
        <w:t>י</w:t>
      </w:r>
      <w:r w:rsidR="002E2602" w:rsidRPr="00545933">
        <w:rPr>
          <w:sz w:val="26"/>
          <w:szCs w:val="26"/>
          <w:rtl/>
        </w:rPr>
        <w:t>מיות ויוצאות דופן</w:t>
      </w:r>
      <w:r w:rsidR="0064697F">
        <w:rPr>
          <w:rFonts w:hint="cs"/>
          <w:sz w:val="26"/>
          <w:szCs w:val="26"/>
          <w:rtl/>
        </w:rPr>
        <w:t xml:space="preserve"> (מעין תביעת "פטנט")</w:t>
      </w:r>
      <w:r w:rsidR="002E2602" w:rsidRPr="00545933">
        <w:rPr>
          <w:sz w:val="26"/>
          <w:szCs w:val="26"/>
          <w:rtl/>
        </w:rPr>
        <w:t xml:space="preserve">. </w:t>
      </w:r>
      <w:r w:rsidR="002E2602" w:rsidRPr="00545933">
        <w:rPr>
          <w:rFonts w:hint="cs"/>
          <w:sz w:val="26"/>
          <w:szCs w:val="26"/>
          <w:rtl/>
        </w:rPr>
        <w:t>הכוונה היא לאפשר סטייה מהכלל הקבוע בסעי</w:t>
      </w:r>
      <w:r w:rsidRPr="00545933">
        <w:rPr>
          <w:rFonts w:hint="cs"/>
          <w:sz w:val="26"/>
          <w:szCs w:val="26"/>
          <w:rtl/>
        </w:rPr>
        <w:t>פים</w:t>
      </w:r>
      <w:r w:rsidR="002E2602" w:rsidRPr="00545933">
        <w:rPr>
          <w:rFonts w:hint="cs"/>
          <w:sz w:val="26"/>
          <w:szCs w:val="26"/>
          <w:rtl/>
        </w:rPr>
        <w:t xml:space="preserve"> </w:t>
      </w:r>
      <w:r w:rsidRPr="00545933">
        <w:rPr>
          <w:rFonts w:hint="cs"/>
          <w:sz w:val="26"/>
          <w:szCs w:val="26"/>
          <w:rtl/>
        </w:rPr>
        <w:t>23</w:t>
      </w:r>
      <w:r w:rsidR="002E2602" w:rsidRPr="00545933">
        <w:rPr>
          <w:rFonts w:hint="cs"/>
          <w:sz w:val="26"/>
          <w:szCs w:val="26"/>
          <w:rtl/>
        </w:rPr>
        <w:t>(א) ו-(ב), כך שבמקרים חריגים מאוד שבהם בית המשפט מתרשם שההליך שנוהל בפניו הוא הליך תקדימי וייחודי</w:t>
      </w:r>
      <w:r w:rsidR="002E2602">
        <w:rPr>
          <w:rFonts w:hint="cs"/>
          <w:sz w:val="26"/>
          <w:szCs w:val="26"/>
          <w:rtl/>
        </w:rPr>
        <w:t xml:space="preserve"> שהביא להתפתחות משמעותית בפסיקה</w:t>
      </w:r>
      <w:r w:rsidR="00015C81">
        <w:rPr>
          <w:rFonts w:hint="cs"/>
          <w:sz w:val="26"/>
          <w:szCs w:val="26"/>
          <w:rtl/>
        </w:rPr>
        <w:t xml:space="preserve"> ולחידושה</w:t>
      </w:r>
      <w:r w:rsidR="002E2602">
        <w:rPr>
          <w:rFonts w:hint="cs"/>
          <w:sz w:val="26"/>
          <w:szCs w:val="26"/>
          <w:rtl/>
        </w:rPr>
        <w:t xml:space="preserve">, הוא יהיה רשאי לפסוק גמול ושכר טרחה שלא </w:t>
      </w:r>
      <w:r w:rsidR="002E2602" w:rsidRPr="002468BC">
        <w:rPr>
          <w:rFonts w:hint="cs"/>
          <w:sz w:val="26"/>
          <w:szCs w:val="26"/>
          <w:rtl/>
        </w:rPr>
        <w:t>בהתאם לתוספת החמישית לחוק.</w:t>
      </w:r>
      <w:r w:rsidR="00B819B4" w:rsidRPr="002468BC">
        <w:rPr>
          <w:rFonts w:hint="cs"/>
          <w:sz w:val="26"/>
          <w:szCs w:val="26"/>
          <w:rtl/>
        </w:rPr>
        <w:t xml:space="preserve"> </w:t>
      </w:r>
      <w:r w:rsidR="00B819B4" w:rsidRPr="002468BC">
        <w:rPr>
          <w:rFonts w:hint="eastAsia"/>
          <w:sz w:val="26"/>
          <w:szCs w:val="26"/>
          <w:rtl/>
        </w:rPr>
        <w:t>בפסקה</w:t>
      </w:r>
      <w:r w:rsidR="00B819B4" w:rsidRPr="002468BC">
        <w:rPr>
          <w:sz w:val="26"/>
          <w:szCs w:val="26"/>
          <w:rtl/>
        </w:rPr>
        <w:t xml:space="preserve"> (</w:t>
      </w:r>
      <w:r w:rsidR="00896E9F" w:rsidRPr="002468BC">
        <w:rPr>
          <w:rFonts w:hint="cs"/>
          <w:sz w:val="26"/>
          <w:szCs w:val="26"/>
          <w:rtl/>
        </w:rPr>
        <w:t>2</w:t>
      </w:r>
      <w:r w:rsidR="00B819B4" w:rsidRPr="002468BC">
        <w:rPr>
          <w:sz w:val="26"/>
          <w:szCs w:val="26"/>
          <w:rtl/>
        </w:rPr>
        <w:t>) לסעיף 23(ו),</w:t>
      </w:r>
      <w:r w:rsidR="00B819B4" w:rsidRPr="002468BC">
        <w:rPr>
          <w:rFonts w:hint="cs"/>
          <w:sz w:val="26"/>
          <w:szCs w:val="26"/>
          <w:rtl/>
        </w:rPr>
        <w:t xml:space="preserve"> מוצע לקבוע כי לבית המשפט תהיה גם סמכות לקבוע </w:t>
      </w:r>
      <w:r w:rsidR="00B819B4" w:rsidRPr="002468BC">
        <w:rPr>
          <w:sz w:val="26"/>
          <w:szCs w:val="26"/>
          <w:rtl/>
        </w:rPr>
        <w:t xml:space="preserve">כי </w:t>
      </w:r>
      <w:r w:rsidR="00B819B4" w:rsidRPr="002468BC">
        <w:rPr>
          <w:rFonts w:hint="cs"/>
          <w:sz w:val="26"/>
          <w:szCs w:val="26"/>
          <w:rtl/>
        </w:rPr>
        <w:t xml:space="preserve">באופן חריג, </w:t>
      </w:r>
      <w:r w:rsidR="00B819B4" w:rsidRPr="002468BC">
        <w:rPr>
          <w:sz w:val="26"/>
          <w:szCs w:val="26"/>
          <w:rtl/>
        </w:rPr>
        <w:t>במקרים מיוחדים ומטעמים מיוחדים שיירשמו</w:t>
      </w:r>
      <w:r w:rsidR="00B819B4" w:rsidRPr="002468BC">
        <w:rPr>
          <w:rFonts w:hint="cs"/>
          <w:sz w:val="26"/>
          <w:szCs w:val="26"/>
          <w:rtl/>
        </w:rPr>
        <w:t xml:space="preserve">, לפסוק סכום הנמוך מהקבוע בפרט 2 לתוספת החמישית לחוק, וזאת אם מצא כי השיעורים של שכר הטרחה והגמול הקבועים בפרט 2, </w:t>
      </w:r>
      <w:r w:rsidR="006346C6" w:rsidRPr="002468BC">
        <w:rPr>
          <w:rFonts w:hint="cs"/>
          <w:sz w:val="26"/>
          <w:szCs w:val="26"/>
          <w:rtl/>
        </w:rPr>
        <w:t xml:space="preserve">עלולים להביא לחוסר צדק </w:t>
      </w:r>
      <w:r w:rsidR="00B819B4" w:rsidRPr="002468BC">
        <w:rPr>
          <w:rFonts w:hint="cs"/>
          <w:sz w:val="26"/>
          <w:szCs w:val="26"/>
          <w:rtl/>
        </w:rPr>
        <w:t>בנסיבות העניין.</w:t>
      </w:r>
      <w:r w:rsidR="00896E9F" w:rsidRPr="002468BC">
        <w:rPr>
          <w:rFonts w:hint="cs"/>
          <w:sz w:val="26"/>
          <w:szCs w:val="26"/>
          <w:rtl/>
        </w:rPr>
        <w:t xml:space="preserve"> יובהר כי השימוש בסמכות בפסקאות (1) ו(2) כאמור תיעשה במשורה על ידי בית המשפט ותישמר למקרים יוצאי הדופן המצדיקים זאת.</w:t>
      </w:r>
    </w:p>
    <w:p w14:paraId="2E0CD53A" w14:textId="44DCE1AF" w:rsidR="002E2602" w:rsidRDefault="002E2602" w:rsidP="006B4C3D">
      <w:pPr>
        <w:tabs>
          <w:tab w:val="left" w:pos="1020"/>
        </w:tabs>
        <w:autoSpaceDE w:val="0"/>
        <w:autoSpaceDN w:val="0"/>
        <w:adjustRightInd w:val="0"/>
        <w:snapToGrid w:val="0"/>
        <w:ind w:left="0"/>
        <w:contextualSpacing w:val="0"/>
        <w:textAlignment w:val="center"/>
        <w:rPr>
          <w:sz w:val="26"/>
          <w:szCs w:val="26"/>
          <w:rtl/>
        </w:rPr>
      </w:pPr>
      <w:r w:rsidRPr="002468BC">
        <w:rPr>
          <w:rFonts w:hint="eastAsia"/>
          <w:sz w:val="26"/>
          <w:szCs w:val="26"/>
          <w:rtl/>
        </w:rPr>
        <w:t>בפסקה</w:t>
      </w:r>
      <w:r w:rsidRPr="002468BC">
        <w:rPr>
          <w:sz w:val="26"/>
          <w:szCs w:val="26"/>
          <w:rtl/>
        </w:rPr>
        <w:t xml:space="preserve"> (</w:t>
      </w:r>
      <w:r w:rsidR="00B819B4" w:rsidRPr="002468BC">
        <w:rPr>
          <w:rFonts w:hint="cs"/>
          <w:sz w:val="26"/>
          <w:szCs w:val="26"/>
          <w:rtl/>
        </w:rPr>
        <w:t>3</w:t>
      </w:r>
      <w:r w:rsidRPr="002468BC">
        <w:rPr>
          <w:sz w:val="26"/>
          <w:szCs w:val="26"/>
          <w:rtl/>
        </w:rPr>
        <w:t>)</w:t>
      </w:r>
      <w:r w:rsidR="000B630D" w:rsidRPr="002468BC">
        <w:rPr>
          <w:sz w:val="26"/>
          <w:szCs w:val="26"/>
          <w:rtl/>
        </w:rPr>
        <w:t xml:space="preserve"> לסעיף </w:t>
      </w:r>
      <w:r w:rsidR="00B819B4" w:rsidRPr="002468BC">
        <w:rPr>
          <w:rFonts w:hint="cs"/>
          <w:sz w:val="26"/>
          <w:szCs w:val="26"/>
          <w:rtl/>
        </w:rPr>
        <w:t xml:space="preserve">זה, </w:t>
      </w:r>
      <w:r w:rsidRPr="002468BC">
        <w:rPr>
          <w:sz w:val="26"/>
          <w:szCs w:val="26"/>
          <w:rtl/>
        </w:rPr>
        <w:t>מוצע להשאיר את ההסדר שקיים גם היום בנ</w:t>
      </w:r>
      <w:r w:rsidRPr="00101D26">
        <w:rPr>
          <w:sz w:val="26"/>
          <w:szCs w:val="26"/>
          <w:rtl/>
        </w:rPr>
        <w:t xml:space="preserve">וגע לפסיקת גמול לארגון שהשתתף בדיונים בתובענה ייצוגית לפי סעיף 15 </w:t>
      </w:r>
      <w:r>
        <w:rPr>
          <w:rFonts w:hint="cs"/>
          <w:sz w:val="26"/>
          <w:szCs w:val="26"/>
          <w:rtl/>
        </w:rPr>
        <w:t>ו</w:t>
      </w:r>
      <w:r w:rsidRPr="00101D26">
        <w:rPr>
          <w:sz w:val="26"/>
          <w:szCs w:val="26"/>
          <w:rtl/>
        </w:rPr>
        <w:t>הכל אם מצא בית המש</w:t>
      </w:r>
      <w:r>
        <w:rPr>
          <w:rFonts w:hint="cs"/>
          <w:sz w:val="26"/>
          <w:szCs w:val="26"/>
          <w:rtl/>
        </w:rPr>
        <w:t>פט</w:t>
      </w:r>
      <w:r w:rsidRPr="00101D26">
        <w:rPr>
          <w:sz w:val="26"/>
          <w:szCs w:val="26"/>
          <w:rtl/>
        </w:rPr>
        <w:t xml:space="preserve"> שהדבר מוצדק לאור הטרחה והתרומה שתרם </w:t>
      </w:r>
      <w:r>
        <w:rPr>
          <w:rFonts w:hint="cs"/>
          <w:sz w:val="26"/>
          <w:szCs w:val="26"/>
          <w:rtl/>
        </w:rPr>
        <w:t>הא</w:t>
      </w:r>
      <w:r w:rsidR="00A73610">
        <w:rPr>
          <w:rFonts w:hint="cs"/>
          <w:sz w:val="26"/>
          <w:szCs w:val="26"/>
          <w:rtl/>
        </w:rPr>
        <w:t>רגון</w:t>
      </w:r>
      <w:r>
        <w:rPr>
          <w:rFonts w:hint="cs"/>
          <w:sz w:val="26"/>
          <w:szCs w:val="26"/>
          <w:rtl/>
        </w:rPr>
        <w:t xml:space="preserve"> </w:t>
      </w:r>
      <w:r w:rsidRPr="00101D26">
        <w:rPr>
          <w:sz w:val="26"/>
          <w:szCs w:val="26"/>
          <w:rtl/>
        </w:rPr>
        <w:t>בהשתתפות בדיונים כאמור.</w:t>
      </w:r>
    </w:p>
    <w:p w14:paraId="18C3B1A6" w14:textId="2D484313" w:rsidR="00A30435" w:rsidRDefault="00A30435" w:rsidP="00A30435">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lastRenderedPageBreak/>
        <w:t xml:space="preserve">בסעיף 23(ז) מוצע לקבוע כי בית המשפט יקבע את החלוקה בין הגמול לשכר הטרחה בהתאם </w:t>
      </w:r>
      <w:r w:rsidRPr="008F1E20">
        <w:rPr>
          <w:rFonts w:hint="cs"/>
          <w:sz w:val="26"/>
          <w:szCs w:val="26"/>
          <w:rtl/>
        </w:rPr>
        <w:t>להתרשמותו מניהול ההליך</w:t>
      </w:r>
      <w:r>
        <w:rPr>
          <w:rFonts w:hint="cs"/>
          <w:sz w:val="26"/>
          <w:szCs w:val="26"/>
          <w:rtl/>
        </w:rPr>
        <w:t>.</w:t>
      </w:r>
      <w:r w:rsidRPr="008F1E20">
        <w:rPr>
          <w:rFonts w:hint="cs"/>
          <w:sz w:val="26"/>
          <w:szCs w:val="26"/>
          <w:rtl/>
        </w:rPr>
        <w:t xml:space="preserve"> </w:t>
      </w:r>
      <w:r>
        <w:rPr>
          <w:rFonts w:hint="cs"/>
          <w:sz w:val="26"/>
          <w:szCs w:val="26"/>
          <w:rtl/>
        </w:rPr>
        <w:t xml:space="preserve">לצורך קביעת החלוקה כאמור, </w:t>
      </w:r>
      <w:r w:rsidRPr="008F1E20">
        <w:rPr>
          <w:rFonts w:hint="cs"/>
          <w:sz w:val="26"/>
          <w:szCs w:val="26"/>
          <w:rtl/>
        </w:rPr>
        <w:t xml:space="preserve">בית המשפט רשאי להורות </w:t>
      </w:r>
      <w:r>
        <w:rPr>
          <w:rFonts w:hint="cs"/>
          <w:sz w:val="26"/>
          <w:szCs w:val="26"/>
          <w:rtl/>
        </w:rPr>
        <w:t>ל</w:t>
      </w:r>
      <w:r w:rsidRPr="008F1E20">
        <w:rPr>
          <w:rFonts w:hint="cs"/>
          <w:sz w:val="26"/>
          <w:szCs w:val="26"/>
          <w:rtl/>
        </w:rPr>
        <w:t>תובע</w:t>
      </w:r>
      <w:r>
        <w:rPr>
          <w:rFonts w:hint="cs"/>
          <w:sz w:val="26"/>
          <w:szCs w:val="26"/>
          <w:rtl/>
        </w:rPr>
        <w:t xml:space="preserve"> המייצג</w:t>
      </w:r>
      <w:r w:rsidRPr="008F1E20">
        <w:rPr>
          <w:rFonts w:hint="cs"/>
          <w:sz w:val="26"/>
          <w:szCs w:val="26"/>
          <w:rtl/>
        </w:rPr>
        <w:t xml:space="preserve"> ולבא כוחו </w:t>
      </w:r>
      <w:r>
        <w:rPr>
          <w:rFonts w:hint="cs"/>
          <w:sz w:val="26"/>
          <w:szCs w:val="26"/>
          <w:rtl/>
        </w:rPr>
        <w:t xml:space="preserve">לחשוף </w:t>
      </w:r>
      <w:r w:rsidRPr="008F1E20">
        <w:rPr>
          <w:rFonts w:hint="cs"/>
          <w:sz w:val="26"/>
          <w:szCs w:val="26"/>
          <w:rtl/>
        </w:rPr>
        <w:t>את הסכם הייצוג ביניהם</w:t>
      </w:r>
      <w:r>
        <w:rPr>
          <w:rFonts w:hint="cs"/>
          <w:sz w:val="26"/>
          <w:szCs w:val="26"/>
          <w:rtl/>
        </w:rPr>
        <w:t xml:space="preserve"> על מנת שבית המשפט יוכל להתרשם </w:t>
      </w:r>
      <w:r w:rsidR="008035B8">
        <w:rPr>
          <w:rFonts w:hint="cs"/>
          <w:sz w:val="26"/>
          <w:szCs w:val="26"/>
          <w:rtl/>
        </w:rPr>
        <w:t>מ</w:t>
      </w:r>
      <w:r>
        <w:rPr>
          <w:rFonts w:hint="cs"/>
          <w:sz w:val="26"/>
          <w:szCs w:val="26"/>
          <w:rtl/>
        </w:rPr>
        <w:t xml:space="preserve">חלוקת הסיכונים, </w:t>
      </w:r>
      <w:r w:rsidRPr="008F1E20">
        <w:rPr>
          <w:rFonts w:hint="cs"/>
          <w:sz w:val="26"/>
          <w:szCs w:val="26"/>
          <w:rtl/>
        </w:rPr>
        <w:t>ההוצאות והרווחים שבין התובע המייצג ובא כוחו</w:t>
      </w:r>
      <w:r>
        <w:rPr>
          <w:rFonts w:hint="cs"/>
          <w:sz w:val="26"/>
          <w:szCs w:val="26"/>
          <w:rtl/>
        </w:rPr>
        <w:t xml:space="preserve"> </w:t>
      </w:r>
      <w:r w:rsidR="00015C81">
        <w:rPr>
          <w:rFonts w:hint="cs"/>
          <w:sz w:val="26"/>
          <w:szCs w:val="26"/>
          <w:rtl/>
        </w:rPr>
        <w:t xml:space="preserve">והדבר </w:t>
      </w:r>
      <w:r>
        <w:rPr>
          <w:rFonts w:hint="cs"/>
          <w:sz w:val="26"/>
          <w:szCs w:val="26"/>
          <w:rtl/>
        </w:rPr>
        <w:t>יסייע לו להחליט כיצד לחלק את הסכומים.</w:t>
      </w:r>
      <w:r w:rsidRPr="008F1E20">
        <w:rPr>
          <w:rFonts w:hint="cs"/>
          <w:sz w:val="26"/>
          <w:szCs w:val="26"/>
          <w:rtl/>
        </w:rPr>
        <w:t xml:space="preserve"> </w:t>
      </w:r>
      <w:r>
        <w:rPr>
          <w:rFonts w:hint="cs"/>
          <w:sz w:val="26"/>
          <w:szCs w:val="26"/>
          <w:rtl/>
        </w:rPr>
        <w:t>בנוסף, בית המשפט רשאי</w:t>
      </w:r>
      <w:r w:rsidRPr="008F1E20">
        <w:rPr>
          <w:rFonts w:hint="cs"/>
          <w:sz w:val="26"/>
          <w:szCs w:val="26"/>
          <w:rtl/>
        </w:rPr>
        <w:t xml:space="preserve"> לבקש כי יוגשו טיעונים בעניין זה. יובהר כי הסכם הייצוג יוצג רק לבית המשפט ויהיה חסוי מפני הנתבע.</w:t>
      </w:r>
    </w:p>
    <w:p w14:paraId="2F4319EA" w14:textId="1724B3BD" w:rsidR="00A73610" w:rsidRPr="00101D26" w:rsidRDefault="00A73610" w:rsidP="00A73610">
      <w:pPr>
        <w:tabs>
          <w:tab w:val="left" w:pos="1020"/>
        </w:tabs>
        <w:autoSpaceDE w:val="0"/>
        <w:autoSpaceDN w:val="0"/>
        <w:adjustRightInd w:val="0"/>
        <w:snapToGrid w:val="0"/>
        <w:ind w:left="0"/>
        <w:contextualSpacing w:val="0"/>
        <w:textAlignment w:val="center"/>
        <w:rPr>
          <w:sz w:val="26"/>
          <w:szCs w:val="26"/>
          <w:rtl/>
        </w:rPr>
      </w:pPr>
      <w:r w:rsidRPr="00101D26">
        <w:rPr>
          <w:sz w:val="26"/>
          <w:szCs w:val="26"/>
          <w:rtl/>
        </w:rPr>
        <w:t xml:space="preserve">חלק מהותי מסוגיית שכר הטרחה והגמול, נוגעת לפיקוח של בית המשפט על יישום הסדר הפשרה או פסק הדין שניתן בסוף ההליך, כאשר ללא קביעת הוראות מתאימות, לצדדים לתובענה אין אינטרס ממשי בביצוע ההסדר, זאת לאור </w:t>
      </w:r>
      <w:r w:rsidR="00015C81">
        <w:rPr>
          <w:rFonts w:hint="cs"/>
          <w:sz w:val="26"/>
          <w:szCs w:val="26"/>
          <w:rtl/>
        </w:rPr>
        <w:t>"</w:t>
      </w:r>
      <w:r w:rsidRPr="00101D26">
        <w:rPr>
          <w:sz w:val="26"/>
          <w:szCs w:val="26"/>
          <w:rtl/>
        </w:rPr>
        <w:t>בעיית הנציג</w:t>
      </w:r>
      <w:r w:rsidR="00015C81">
        <w:rPr>
          <w:rFonts w:hint="cs"/>
          <w:sz w:val="26"/>
          <w:szCs w:val="26"/>
          <w:rtl/>
        </w:rPr>
        <w:t>"</w:t>
      </w:r>
      <w:r w:rsidRPr="00101D26">
        <w:rPr>
          <w:sz w:val="26"/>
          <w:szCs w:val="26"/>
          <w:rtl/>
        </w:rPr>
        <w:t xml:space="preserve"> הקיימת בתחום. </w:t>
      </w:r>
    </w:p>
    <w:p w14:paraId="3C45E087" w14:textId="26BC23DF" w:rsidR="00A73610" w:rsidRDefault="00A73610" w:rsidP="00A73610">
      <w:pPr>
        <w:tabs>
          <w:tab w:val="left" w:pos="1020"/>
        </w:tabs>
        <w:autoSpaceDE w:val="0"/>
        <w:autoSpaceDN w:val="0"/>
        <w:adjustRightInd w:val="0"/>
        <w:snapToGrid w:val="0"/>
        <w:ind w:left="0"/>
        <w:contextualSpacing w:val="0"/>
        <w:textAlignment w:val="center"/>
        <w:rPr>
          <w:sz w:val="26"/>
          <w:szCs w:val="26"/>
          <w:rtl/>
        </w:rPr>
      </w:pPr>
      <w:r w:rsidRPr="00101D26">
        <w:rPr>
          <w:sz w:val="26"/>
          <w:szCs w:val="26"/>
          <w:rtl/>
        </w:rPr>
        <w:t>כיום, סעיפים 19(ו) ו-23(ד) לחוק קובעים כי בית המשפט רשאי לקבוע כי תשלום שכר הטרחה יהיה מותנה, כולו או חלקו, במימוש הסדר הפשרה או פסק הדין ובהשלמת ביצועו. סעיפים אלו מטרתם לאפשר לבית המשפט לפקח על ביצוע הסדר הפשרה או פסק הדין באמצעות קביעה כי חלק משכר הטרחה יעוכב עד להשלמת ביצוע ההסדר או פסק הדין וזאת באמצעות יצירת זיקה בין הפיצוי לקבוצה לבין התשלום לבא כוח הקבוצה כפי שצוין לעיל. מכיוון שבמקרים לא מעטים, שכר הטרחה אינו משולם בהתאם למימוש הסעד, או שהצדדי</w:t>
      </w:r>
      <w:r>
        <w:rPr>
          <w:rFonts w:hint="cs"/>
          <w:sz w:val="26"/>
          <w:szCs w:val="26"/>
          <w:rtl/>
        </w:rPr>
        <w:t>ם</w:t>
      </w:r>
      <w:r w:rsidRPr="00101D26">
        <w:rPr>
          <w:sz w:val="26"/>
          <w:szCs w:val="26"/>
          <w:rtl/>
        </w:rPr>
        <w:t xml:space="preserve"> ממליצים על כך שרק אחוז </w:t>
      </w:r>
      <w:r>
        <w:rPr>
          <w:rFonts w:hint="cs"/>
          <w:sz w:val="26"/>
          <w:szCs w:val="26"/>
          <w:rtl/>
        </w:rPr>
        <w:t xml:space="preserve">קטן </w:t>
      </w:r>
      <w:r w:rsidRPr="00101D26">
        <w:rPr>
          <w:sz w:val="26"/>
          <w:szCs w:val="26"/>
          <w:rtl/>
        </w:rPr>
        <w:t xml:space="preserve">משכר הטרחה </w:t>
      </w:r>
      <w:r w:rsidR="008035B8" w:rsidRPr="00101D26">
        <w:rPr>
          <w:sz w:val="26"/>
          <w:szCs w:val="26"/>
          <w:rtl/>
        </w:rPr>
        <w:t>י</w:t>
      </w:r>
      <w:r w:rsidR="008035B8">
        <w:rPr>
          <w:rFonts w:hint="cs"/>
          <w:sz w:val="26"/>
          <w:szCs w:val="26"/>
          <w:rtl/>
        </w:rPr>
        <w:t>שולם</w:t>
      </w:r>
      <w:r w:rsidR="008035B8" w:rsidRPr="00101D26">
        <w:rPr>
          <w:sz w:val="26"/>
          <w:szCs w:val="26"/>
          <w:rtl/>
        </w:rPr>
        <w:t xml:space="preserve"> </w:t>
      </w:r>
      <w:r w:rsidRPr="00101D26">
        <w:rPr>
          <w:sz w:val="26"/>
          <w:szCs w:val="26"/>
          <w:rtl/>
        </w:rPr>
        <w:t>בהתאם לביצוע בפועל, מוצע לקבוע</w:t>
      </w:r>
      <w:r>
        <w:rPr>
          <w:rFonts w:hint="cs"/>
          <w:sz w:val="26"/>
          <w:szCs w:val="26"/>
          <w:rtl/>
        </w:rPr>
        <w:t xml:space="preserve"> בסעיף 19(ו) ובסעיף 23(ד)</w:t>
      </w:r>
      <w:r w:rsidRPr="00101D26">
        <w:rPr>
          <w:sz w:val="26"/>
          <w:szCs w:val="26"/>
          <w:rtl/>
        </w:rPr>
        <w:t xml:space="preserve"> כי סמכות </w:t>
      </w:r>
      <w:r w:rsidR="00015C81">
        <w:rPr>
          <w:rFonts w:hint="cs"/>
          <w:sz w:val="26"/>
          <w:szCs w:val="26"/>
          <w:rtl/>
        </w:rPr>
        <w:t xml:space="preserve">הרשות שקיימת היום לבית המשפט </w:t>
      </w:r>
      <w:r w:rsidRPr="00101D26">
        <w:rPr>
          <w:sz w:val="26"/>
          <w:szCs w:val="26"/>
          <w:rtl/>
        </w:rPr>
        <w:t>תהפוך לסמכות שבחובה וכן שבית</w:t>
      </w:r>
      <w:r>
        <w:rPr>
          <w:rFonts w:hint="cs"/>
          <w:sz w:val="26"/>
          <w:szCs w:val="26"/>
          <w:rtl/>
        </w:rPr>
        <w:t xml:space="preserve"> </w:t>
      </w:r>
      <w:r w:rsidRPr="00101D26">
        <w:rPr>
          <w:sz w:val="26"/>
          <w:szCs w:val="26"/>
          <w:rtl/>
        </w:rPr>
        <w:t>המש</w:t>
      </w:r>
      <w:r>
        <w:rPr>
          <w:rFonts w:hint="cs"/>
          <w:sz w:val="26"/>
          <w:szCs w:val="26"/>
          <w:rtl/>
        </w:rPr>
        <w:t>פ</w:t>
      </w:r>
      <w:r w:rsidRPr="00101D26">
        <w:rPr>
          <w:sz w:val="26"/>
          <w:szCs w:val="26"/>
          <w:rtl/>
        </w:rPr>
        <w:t>ט יקבע כי שכר הטרחה וה</w:t>
      </w:r>
      <w:r>
        <w:rPr>
          <w:rFonts w:hint="cs"/>
          <w:sz w:val="26"/>
          <w:szCs w:val="26"/>
          <w:rtl/>
        </w:rPr>
        <w:t>ג</w:t>
      </w:r>
      <w:r w:rsidRPr="00101D26">
        <w:rPr>
          <w:sz w:val="26"/>
          <w:szCs w:val="26"/>
          <w:rtl/>
        </w:rPr>
        <w:t>מול כולו או לכל הפחות חלקו העיקרי, כלומר, מעל למחצית</w:t>
      </w:r>
      <w:r>
        <w:rPr>
          <w:rFonts w:hint="cs"/>
          <w:sz w:val="26"/>
          <w:szCs w:val="26"/>
          <w:rtl/>
        </w:rPr>
        <w:t>ו</w:t>
      </w:r>
      <w:r w:rsidRPr="00101D26">
        <w:rPr>
          <w:sz w:val="26"/>
          <w:szCs w:val="26"/>
          <w:rtl/>
        </w:rPr>
        <w:t xml:space="preserve">, יהיו מותנים במימוש פסק הדין ובהשלמת ביצועו. כך, ניתן יהיה להבטיח כי התמריץ של </w:t>
      </w:r>
      <w:r>
        <w:rPr>
          <w:rFonts w:hint="cs"/>
          <w:sz w:val="26"/>
          <w:szCs w:val="26"/>
          <w:rtl/>
        </w:rPr>
        <w:t>המייצגים</w:t>
      </w:r>
      <w:r w:rsidRPr="00101D26">
        <w:rPr>
          <w:sz w:val="26"/>
          <w:szCs w:val="26"/>
          <w:rtl/>
        </w:rPr>
        <w:t xml:space="preserve"> יישמר ויהיה ל</w:t>
      </w:r>
      <w:r>
        <w:rPr>
          <w:rFonts w:hint="cs"/>
          <w:sz w:val="26"/>
          <w:szCs w:val="26"/>
          <w:rtl/>
        </w:rPr>
        <w:t>הם</w:t>
      </w:r>
      <w:r w:rsidRPr="00101D26">
        <w:rPr>
          <w:sz w:val="26"/>
          <w:szCs w:val="26"/>
          <w:rtl/>
        </w:rPr>
        <w:t xml:space="preserve"> אינטרס הן להביא לפיצוי ראוי לחברי הקבוצה והן לפקח על מימוש פסק הדין או הסדר הפשרה. </w:t>
      </w:r>
    </w:p>
    <w:p w14:paraId="61024C16" w14:textId="5B97187F" w:rsidR="00A30435" w:rsidRDefault="00A73610" w:rsidP="00A30435">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עוד </w:t>
      </w:r>
      <w:r w:rsidRPr="00101D26">
        <w:rPr>
          <w:sz w:val="26"/>
          <w:szCs w:val="26"/>
          <w:rtl/>
        </w:rPr>
        <w:t xml:space="preserve">מוצע </w:t>
      </w:r>
      <w:r>
        <w:rPr>
          <w:rFonts w:hint="cs"/>
          <w:sz w:val="26"/>
          <w:szCs w:val="26"/>
          <w:rtl/>
        </w:rPr>
        <w:t xml:space="preserve">בסעיף 23(ה) </w:t>
      </w:r>
      <w:r w:rsidRPr="00101D26">
        <w:rPr>
          <w:sz w:val="26"/>
          <w:szCs w:val="26"/>
          <w:rtl/>
        </w:rPr>
        <w:t>להשאיר את ההוראה הקבועה היום בסעיף 23(ג) ולקבוע שהיא תחול גם על הגמול, כך שבית המשפט יהיה רשאי לפסוק כאמור, גם בשלבים אחרים</w:t>
      </w:r>
      <w:r w:rsidR="00015C81">
        <w:rPr>
          <w:rFonts w:hint="cs"/>
          <w:sz w:val="26"/>
          <w:szCs w:val="26"/>
          <w:rtl/>
        </w:rPr>
        <w:t>,</w:t>
      </w:r>
      <w:r w:rsidRPr="00101D26">
        <w:rPr>
          <w:sz w:val="26"/>
          <w:szCs w:val="26"/>
          <w:rtl/>
        </w:rPr>
        <w:t xml:space="preserve"> שכר טרחה וגמול, אם מצא שהדבר מוצדק בנסיבות העניין והכל על חשבון שכר הטרחה</w:t>
      </w:r>
      <w:r w:rsidR="001E5404">
        <w:rPr>
          <w:rFonts w:hint="cs"/>
          <w:sz w:val="26"/>
          <w:szCs w:val="26"/>
          <w:rtl/>
        </w:rPr>
        <w:t xml:space="preserve"> והגמול</w:t>
      </w:r>
      <w:r w:rsidRPr="00101D26">
        <w:rPr>
          <w:sz w:val="26"/>
          <w:szCs w:val="26"/>
          <w:rtl/>
        </w:rPr>
        <w:t xml:space="preserve"> הכולל</w:t>
      </w:r>
      <w:r w:rsidR="001E5404">
        <w:rPr>
          <w:rFonts w:hint="cs"/>
          <w:sz w:val="26"/>
          <w:szCs w:val="26"/>
          <w:rtl/>
        </w:rPr>
        <w:t>ים</w:t>
      </w:r>
      <w:r w:rsidRPr="00101D26">
        <w:rPr>
          <w:sz w:val="26"/>
          <w:szCs w:val="26"/>
          <w:rtl/>
        </w:rPr>
        <w:t xml:space="preserve">. </w:t>
      </w:r>
      <w:r>
        <w:rPr>
          <w:rFonts w:hint="cs"/>
          <w:sz w:val="26"/>
          <w:szCs w:val="26"/>
          <w:rtl/>
        </w:rPr>
        <w:t xml:space="preserve">כלומר, </w:t>
      </w:r>
      <w:r w:rsidRPr="00101D26">
        <w:rPr>
          <w:sz w:val="26"/>
          <w:szCs w:val="26"/>
          <w:rtl/>
        </w:rPr>
        <w:t>ניתן יהיה לשלם עם אישור פשרה או מתן פסק דין שכר טרחה</w:t>
      </w:r>
      <w:r w:rsidR="001E5404">
        <w:rPr>
          <w:rFonts w:hint="cs"/>
          <w:sz w:val="26"/>
          <w:szCs w:val="26"/>
          <w:rtl/>
        </w:rPr>
        <w:t xml:space="preserve"> וגמול</w:t>
      </w:r>
      <w:r w:rsidRPr="00101D26">
        <w:rPr>
          <w:sz w:val="26"/>
          <w:szCs w:val="26"/>
          <w:rtl/>
        </w:rPr>
        <w:t xml:space="preserve"> ראשוני</w:t>
      </w:r>
      <w:r w:rsidR="001E5404">
        <w:rPr>
          <w:rFonts w:hint="cs"/>
          <w:sz w:val="26"/>
          <w:szCs w:val="26"/>
          <w:rtl/>
        </w:rPr>
        <w:t>ים</w:t>
      </w:r>
      <w:r w:rsidRPr="00101D26">
        <w:rPr>
          <w:sz w:val="26"/>
          <w:szCs w:val="26"/>
          <w:rtl/>
        </w:rPr>
        <w:t xml:space="preserve">, וזאת לאור המשאבים שהושקעו לטובת הקבוצה עד אותו שלב, ובהינתן </w:t>
      </w:r>
      <w:r w:rsidR="00015C81">
        <w:rPr>
          <w:rFonts w:hint="cs"/>
          <w:sz w:val="26"/>
          <w:szCs w:val="26"/>
          <w:rtl/>
        </w:rPr>
        <w:t>שהמימוש</w:t>
      </w:r>
      <w:r w:rsidRPr="00101D26">
        <w:rPr>
          <w:sz w:val="26"/>
          <w:szCs w:val="26"/>
          <w:rtl/>
        </w:rPr>
        <w:t xml:space="preserve"> של פשרה או פסק דין ייצוגי </w:t>
      </w:r>
      <w:r w:rsidR="00015C81">
        <w:rPr>
          <w:rFonts w:hint="cs"/>
          <w:sz w:val="26"/>
          <w:szCs w:val="26"/>
          <w:rtl/>
        </w:rPr>
        <w:t>אורך</w:t>
      </w:r>
      <w:r w:rsidR="00015C81" w:rsidRPr="00101D26">
        <w:rPr>
          <w:sz w:val="26"/>
          <w:szCs w:val="26"/>
          <w:rtl/>
        </w:rPr>
        <w:t xml:space="preserve"> </w:t>
      </w:r>
      <w:r w:rsidRPr="00101D26">
        <w:rPr>
          <w:sz w:val="26"/>
          <w:szCs w:val="26"/>
          <w:rtl/>
        </w:rPr>
        <w:t xml:space="preserve">זמן ולפעמים </w:t>
      </w:r>
      <w:r w:rsidR="00015C81">
        <w:rPr>
          <w:rFonts w:hint="cs"/>
          <w:sz w:val="26"/>
          <w:szCs w:val="26"/>
          <w:rtl/>
        </w:rPr>
        <w:t xml:space="preserve">מספר </w:t>
      </w:r>
      <w:r w:rsidRPr="00101D26">
        <w:rPr>
          <w:sz w:val="26"/>
          <w:szCs w:val="26"/>
          <w:rtl/>
        </w:rPr>
        <w:t>שנים (בנוסף לשנים שעוברות לעיתים עד שהצדדים מגבשים פשרה) ומן הראוי לשפות את המייצגים על פעולתם עד השגת הפשרה או פסק הדין, בכדי לתמרץ הגשת הליכים ופשרות ראויות. עם זאת, בהתאם לסעיף (</w:t>
      </w:r>
      <w:r w:rsidR="001E5404">
        <w:rPr>
          <w:rFonts w:hint="cs"/>
          <w:sz w:val="26"/>
          <w:szCs w:val="26"/>
          <w:rtl/>
        </w:rPr>
        <w:t>ה</w:t>
      </w:r>
      <w:r w:rsidRPr="00101D26">
        <w:rPr>
          <w:sz w:val="26"/>
          <w:szCs w:val="26"/>
          <w:rtl/>
        </w:rPr>
        <w:t>) המוצע, סכום זה ישולם על חשבון השכר הכולל שייקבע בהמשך</w:t>
      </w:r>
      <w:r w:rsidR="00015C81">
        <w:rPr>
          <w:rFonts w:hint="cs"/>
          <w:sz w:val="26"/>
          <w:szCs w:val="26"/>
          <w:rtl/>
        </w:rPr>
        <w:t>,</w:t>
      </w:r>
      <w:r w:rsidRPr="00101D26">
        <w:rPr>
          <w:sz w:val="26"/>
          <w:szCs w:val="26"/>
          <w:rtl/>
        </w:rPr>
        <w:t xml:space="preserve"> בשיעור מהפיצוי שיינתן לקבוצה בפועל. כלומר, בית המשפט יהיה רשאי לקבוע סכום ראשוני על חשבון שכר הטרחה הכולל שייקבע בהמשך בהתאם לפיצוי בפועל לקבוצה. כך, שאם שכר הטרחה הראשוני יהיה גבוה מסכום שכר הטרחה והגמול הכוללים, על התובע הייצוגי ובא כוחו יהיה להשיב את ההפרש. יצוין כי הוראה דומה קבועה כבר היום בסעיף 23(ג)</w:t>
      </w:r>
      <w:r>
        <w:rPr>
          <w:rFonts w:hint="cs"/>
          <w:sz w:val="26"/>
          <w:szCs w:val="26"/>
          <w:rtl/>
        </w:rPr>
        <w:t>.</w:t>
      </w:r>
    </w:p>
    <w:p w14:paraId="3B9D4A0B" w14:textId="22373D97" w:rsidR="002E2602" w:rsidRDefault="000B630D" w:rsidP="00DD110F">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בסעיף 23(</w:t>
      </w:r>
      <w:r w:rsidR="00A30435">
        <w:rPr>
          <w:rFonts w:hint="cs"/>
          <w:sz w:val="26"/>
          <w:szCs w:val="26"/>
          <w:rtl/>
        </w:rPr>
        <w:t>ח</w:t>
      </w:r>
      <w:r>
        <w:rPr>
          <w:rFonts w:hint="cs"/>
          <w:sz w:val="26"/>
          <w:szCs w:val="26"/>
          <w:rtl/>
        </w:rPr>
        <w:t xml:space="preserve">) מוצע לקבוע כי </w:t>
      </w:r>
      <w:r w:rsidR="002E2602" w:rsidRPr="00101D26">
        <w:rPr>
          <w:sz w:val="26"/>
          <w:szCs w:val="26"/>
          <w:rtl/>
        </w:rPr>
        <w:t xml:space="preserve">בתובענות ייצוגיות </w:t>
      </w:r>
      <w:r w:rsidR="002E2602">
        <w:rPr>
          <w:rFonts w:hint="cs"/>
          <w:sz w:val="26"/>
          <w:szCs w:val="26"/>
          <w:rtl/>
        </w:rPr>
        <w:t>לצו עשה</w:t>
      </w:r>
      <w:r>
        <w:rPr>
          <w:rFonts w:hint="cs"/>
          <w:sz w:val="26"/>
          <w:szCs w:val="26"/>
          <w:rtl/>
        </w:rPr>
        <w:t>,</w:t>
      </w:r>
      <w:r w:rsidR="002E2602">
        <w:rPr>
          <w:rFonts w:hint="cs"/>
          <w:sz w:val="26"/>
          <w:szCs w:val="26"/>
          <w:rtl/>
        </w:rPr>
        <w:t xml:space="preserve"> אשר </w:t>
      </w:r>
      <w:r>
        <w:rPr>
          <w:rFonts w:hint="cs"/>
          <w:sz w:val="26"/>
          <w:szCs w:val="26"/>
          <w:rtl/>
        </w:rPr>
        <w:t>י</w:t>
      </w:r>
      <w:r w:rsidR="002E2602">
        <w:rPr>
          <w:rFonts w:hint="cs"/>
          <w:sz w:val="26"/>
          <w:szCs w:val="26"/>
          <w:rtl/>
        </w:rPr>
        <w:t>וגשו לאחר</w:t>
      </w:r>
      <w:r w:rsidR="002E2602" w:rsidRPr="00101D26">
        <w:rPr>
          <w:sz w:val="26"/>
          <w:szCs w:val="26"/>
          <w:rtl/>
        </w:rPr>
        <w:t xml:space="preserve"> שהפניה המוקדמת לא נענתה או שהנתבע לא תיקן את ההפרה, בית המשפט י</w:t>
      </w:r>
      <w:r w:rsidR="00E4321B">
        <w:rPr>
          <w:rFonts w:hint="cs"/>
          <w:sz w:val="26"/>
          <w:szCs w:val="26"/>
          <w:rtl/>
        </w:rPr>
        <w:t>שקול</w:t>
      </w:r>
      <w:r w:rsidR="002E2602" w:rsidRPr="00101D26">
        <w:rPr>
          <w:sz w:val="26"/>
          <w:szCs w:val="26"/>
          <w:rtl/>
        </w:rPr>
        <w:t xml:space="preserve"> את התועלת לחברי הקבוצה לצורך קביעת סכום הפיצוי אשר ממנו ייגזרו הגמול ושכר הטרחה. יודגש כי גם במקרה זה שיעור הגמול ושכר הטרחה ייקבעו בהתאם לשיעור</w:t>
      </w:r>
      <w:r w:rsidR="002E2602">
        <w:rPr>
          <w:rFonts w:hint="cs"/>
          <w:sz w:val="26"/>
          <w:szCs w:val="26"/>
          <w:rtl/>
        </w:rPr>
        <w:t>ים</w:t>
      </w:r>
      <w:r w:rsidR="002E2602" w:rsidRPr="00101D26">
        <w:rPr>
          <w:sz w:val="26"/>
          <w:szCs w:val="26"/>
          <w:rtl/>
        </w:rPr>
        <w:t xml:space="preserve"> הקבוע</w:t>
      </w:r>
      <w:r w:rsidR="002E2602">
        <w:rPr>
          <w:rFonts w:hint="cs"/>
          <w:sz w:val="26"/>
          <w:szCs w:val="26"/>
          <w:rtl/>
        </w:rPr>
        <w:t>ים</w:t>
      </w:r>
      <w:r w:rsidR="002E2602" w:rsidRPr="00101D26">
        <w:rPr>
          <w:sz w:val="26"/>
          <w:szCs w:val="26"/>
          <w:rtl/>
        </w:rPr>
        <w:t xml:space="preserve"> </w:t>
      </w:r>
      <w:r w:rsidR="002E2602">
        <w:rPr>
          <w:rFonts w:hint="cs"/>
          <w:sz w:val="26"/>
          <w:szCs w:val="26"/>
          <w:rtl/>
        </w:rPr>
        <w:t>ב</w:t>
      </w:r>
      <w:r w:rsidR="002E2602" w:rsidRPr="00101D26">
        <w:rPr>
          <w:sz w:val="26"/>
          <w:szCs w:val="26"/>
          <w:rtl/>
        </w:rPr>
        <w:t xml:space="preserve">תוספת החמישית לחוק. </w:t>
      </w:r>
    </w:p>
    <w:p w14:paraId="17BD0CC5" w14:textId="197F445C" w:rsidR="002E2602" w:rsidRDefault="000B630D" w:rsidP="000B630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בסעיף 23(י) </w:t>
      </w:r>
      <w:r w:rsidR="002E2602" w:rsidRPr="00101D26">
        <w:rPr>
          <w:sz w:val="26"/>
          <w:szCs w:val="26"/>
          <w:rtl/>
        </w:rPr>
        <w:t xml:space="preserve">מוצע כי בבקשה לאישור או בתובענה ייצוגית המתנהלת כנגד מספר נתבעים או אם בית </w:t>
      </w:r>
      <w:r w:rsidR="002E2602" w:rsidRPr="00101D26">
        <w:rPr>
          <w:sz w:val="26"/>
          <w:szCs w:val="26"/>
          <w:rtl/>
        </w:rPr>
        <w:lastRenderedPageBreak/>
        <w:t xml:space="preserve">המשפט סבר שעל אף שהבקשות הוגשו בנפרד, היה </w:t>
      </w:r>
      <w:r w:rsidR="00015C81">
        <w:rPr>
          <w:rFonts w:hint="cs"/>
          <w:sz w:val="26"/>
          <w:szCs w:val="26"/>
          <w:rtl/>
        </w:rPr>
        <w:t>ראוי</w:t>
      </w:r>
      <w:r w:rsidR="00015C81" w:rsidRPr="00101D26">
        <w:rPr>
          <w:sz w:val="26"/>
          <w:szCs w:val="26"/>
          <w:rtl/>
        </w:rPr>
        <w:t xml:space="preserve"> </w:t>
      </w:r>
      <w:r w:rsidR="002E2602">
        <w:rPr>
          <w:rFonts w:hint="cs"/>
          <w:sz w:val="26"/>
          <w:szCs w:val="26"/>
          <w:rtl/>
        </w:rPr>
        <w:t>שהתובע הייצוגי ובא כוחו יגישו אותן</w:t>
      </w:r>
      <w:r w:rsidR="002E2602" w:rsidRPr="00101D26">
        <w:rPr>
          <w:sz w:val="26"/>
          <w:szCs w:val="26"/>
          <w:rtl/>
        </w:rPr>
        <w:t xml:space="preserve"> יחדיו, בית המשפט יקבע את סכומי הגמו</w:t>
      </w:r>
      <w:r w:rsidR="002E2602">
        <w:rPr>
          <w:rFonts w:hint="cs"/>
          <w:sz w:val="26"/>
          <w:szCs w:val="26"/>
          <w:rtl/>
        </w:rPr>
        <w:t xml:space="preserve">ל </w:t>
      </w:r>
      <w:r w:rsidR="002E2602" w:rsidRPr="00101D26">
        <w:rPr>
          <w:sz w:val="26"/>
          <w:szCs w:val="26"/>
          <w:rtl/>
        </w:rPr>
        <w:t>ושכר הט</w:t>
      </w:r>
      <w:r w:rsidR="002E2602">
        <w:rPr>
          <w:rFonts w:hint="cs"/>
          <w:sz w:val="26"/>
          <w:szCs w:val="26"/>
          <w:rtl/>
        </w:rPr>
        <w:t>רחה</w:t>
      </w:r>
      <w:r w:rsidR="002E2602" w:rsidRPr="00101D26">
        <w:rPr>
          <w:sz w:val="26"/>
          <w:szCs w:val="26"/>
          <w:rtl/>
        </w:rPr>
        <w:t xml:space="preserve"> מסכום הפיצוי הכולל מכלל הנתבעים ולא ביחס לכל תביעה בנפרד וזאת לפי השיעורים שנקבעו בתוספת החמישית לחוק. בית המשפט רשאי </w:t>
      </w:r>
      <w:r w:rsidR="00FF6869">
        <w:rPr>
          <w:rFonts w:hint="cs"/>
          <w:sz w:val="26"/>
          <w:szCs w:val="26"/>
          <w:rtl/>
        </w:rPr>
        <w:t>לקבוע אחרת אם סבר שנסיבות העניין מצדיקות זאת</w:t>
      </w:r>
      <w:r w:rsidR="002E2602" w:rsidRPr="00101D26">
        <w:rPr>
          <w:sz w:val="26"/>
          <w:szCs w:val="26"/>
          <w:rtl/>
        </w:rPr>
        <w:t>. המלצה זו עשויה להיות משמעותית בהליכי תובענות ייצוגיות המנוהלים יחדיו ומסתיימים בסכומים גבוהים לכל נתבע בנפרד</w:t>
      </w:r>
      <w:r w:rsidR="002E2602">
        <w:rPr>
          <w:rFonts w:hint="cs"/>
          <w:sz w:val="26"/>
          <w:szCs w:val="26"/>
          <w:rtl/>
        </w:rPr>
        <w:t xml:space="preserve">. </w:t>
      </w:r>
    </w:p>
    <w:p w14:paraId="2A96CF0A" w14:textId="77777777" w:rsidR="00530243" w:rsidRDefault="00530243" w:rsidP="000B630D">
      <w:pPr>
        <w:tabs>
          <w:tab w:val="left" w:pos="1020"/>
        </w:tabs>
        <w:autoSpaceDE w:val="0"/>
        <w:autoSpaceDN w:val="0"/>
        <w:adjustRightInd w:val="0"/>
        <w:snapToGrid w:val="0"/>
        <w:ind w:left="0"/>
        <w:contextualSpacing w:val="0"/>
        <w:textAlignment w:val="center"/>
        <w:rPr>
          <w:sz w:val="26"/>
          <w:szCs w:val="26"/>
          <w:rtl/>
        </w:rPr>
      </w:pPr>
    </w:p>
    <w:p w14:paraId="6602EE63" w14:textId="30E70AD1" w:rsidR="00530243" w:rsidRDefault="00530243" w:rsidP="000B630D">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וזה נוסחו של סעיף 22 שמוצע לבטלו:</w:t>
      </w:r>
    </w:p>
    <w:p w14:paraId="3A965672" w14:textId="294C2A7A" w:rsidR="00530243" w:rsidRDefault="00530243" w:rsidP="00530243">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 xml:space="preserve">"(22) (א)       </w:t>
      </w:r>
      <w:r w:rsidRPr="00AB7CE3">
        <w:rPr>
          <w:sz w:val="26"/>
          <w:szCs w:val="26"/>
          <w:rtl/>
        </w:rPr>
        <w:t xml:space="preserve">הכריע בית המשפט בתובענה הייצוגית, כולה או חלקה, לטובת הקבוצה, כולה או חלקה, לרבות בדרך של אישור הסדר פשרה, יורה על תשלום גמול לתובע המייצג, בהתחשב בשיקולים כאמור בסעיף קטן (ב), אלא אם כן מצא, מטעמים מיוחדים שיירשמו, שהדבר אינו מוצדק בנסיבות </w:t>
      </w:r>
      <w:proofErr w:type="spellStart"/>
      <w:r w:rsidRPr="00AB7CE3">
        <w:rPr>
          <w:sz w:val="26"/>
          <w:szCs w:val="26"/>
          <w:rtl/>
        </w:rPr>
        <w:t>הענין</w:t>
      </w:r>
      <w:proofErr w:type="spellEnd"/>
      <w:r w:rsidRPr="00AB7CE3">
        <w:rPr>
          <w:sz w:val="26"/>
          <w:szCs w:val="26"/>
        </w:rPr>
        <w:t>.</w:t>
      </w:r>
    </w:p>
    <w:p w14:paraId="0F7916F5" w14:textId="7FF0711C"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Pr>
          <w:rFonts w:hint="cs"/>
          <w:sz w:val="26"/>
          <w:szCs w:val="26"/>
          <w:rtl/>
        </w:rPr>
        <w:t xml:space="preserve">(ב)       </w:t>
      </w:r>
      <w:r w:rsidRPr="00AB7CE3">
        <w:rPr>
          <w:sz w:val="26"/>
          <w:szCs w:val="26"/>
          <w:rtl/>
        </w:rPr>
        <w:t>בקביעת שיעור הגמול יתחשב בית המשפט, בין השאר, בשיקולים אלה</w:t>
      </w:r>
      <w:r w:rsidRPr="00AB7CE3">
        <w:rPr>
          <w:sz w:val="26"/>
          <w:szCs w:val="26"/>
        </w:rPr>
        <w:t>:</w:t>
      </w:r>
    </w:p>
    <w:p w14:paraId="4A88E10A" w14:textId="514D6632"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sidRPr="00AB7CE3">
        <w:rPr>
          <w:sz w:val="26"/>
          <w:szCs w:val="26"/>
        </w:rPr>
        <w:t>(1)</w:t>
      </w:r>
      <w:r>
        <w:rPr>
          <w:sz w:val="26"/>
          <w:szCs w:val="26"/>
        </w:rPr>
        <w:t xml:space="preserve"> </w:t>
      </w:r>
      <w:r>
        <w:rPr>
          <w:rFonts w:hint="cs"/>
          <w:sz w:val="26"/>
          <w:szCs w:val="26"/>
          <w:rtl/>
        </w:rPr>
        <w:t xml:space="preserve"> </w:t>
      </w:r>
      <w:r w:rsidRPr="00AB7CE3">
        <w:rPr>
          <w:sz w:val="26"/>
          <w:szCs w:val="26"/>
          <w:rtl/>
        </w:rPr>
        <w:t>הטרחה שטרח התובע המייצג והסיכון שנטל על עצמו בהגשת התובענה הייצוגית ובניהולה, בפרט אם הסעד המבוקש בתובענה הוא סעד הצהרתי</w:t>
      </w:r>
      <w:r w:rsidRPr="00AB7CE3">
        <w:rPr>
          <w:sz w:val="26"/>
          <w:szCs w:val="26"/>
        </w:rPr>
        <w:t>;</w:t>
      </w:r>
    </w:p>
    <w:p w14:paraId="05099BA6" w14:textId="2E40153B"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sidRPr="00AB7CE3">
        <w:rPr>
          <w:sz w:val="26"/>
          <w:szCs w:val="26"/>
        </w:rPr>
        <w:t>(2)</w:t>
      </w:r>
      <w:r>
        <w:rPr>
          <w:rFonts w:hint="cs"/>
          <w:sz w:val="26"/>
          <w:szCs w:val="26"/>
          <w:rtl/>
        </w:rPr>
        <w:t xml:space="preserve"> </w:t>
      </w:r>
      <w:r w:rsidRPr="00AB7CE3">
        <w:rPr>
          <w:sz w:val="26"/>
          <w:szCs w:val="26"/>
          <w:rtl/>
        </w:rPr>
        <w:t>התועלת שהביאה התובענה הייצוגית לחברי הקבוצה</w:t>
      </w:r>
      <w:r w:rsidRPr="00AB7CE3">
        <w:rPr>
          <w:sz w:val="26"/>
          <w:szCs w:val="26"/>
        </w:rPr>
        <w:t>;</w:t>
      </w:r>
    </w:p>
    <w:p w14:paraId="3B0A84CE" w14:textId="13F7D320"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sidRPr="00AB7CE3">
        <w:rPr>
          <w:sz w:val="26"/>
          <w:szCs w:val="26"/>
        </w:rPr>
        <w:t>(3)</w:t>
      </w:r>
      <w:r>
        <w:rPr>
          <w:rFonts w:hint="cs"/>
          <w:sz w:val="26"/>
          <w:szCs w:val="26"/>
          <w:rtl/>
        </w:rPr>
        <w:t xml:space="preserve"> </w:t>
      </w:r>
      <w:r w:rsidRPr="00AB7CE3">
        <w:rPr>
          <w:sz w:val="26"/>
          <w:szCs w:val="26"/>
          <w:rtl/>
        </w:rPr>
        <w:t>מידת החשיבות הציבורית של התובענה הייצוגית</w:t>
      </w:r>
      <w:r w:rsidRPr="00AB7CE3">
        <w:rPr>
          <w:sz w:val="26"/>
          <w:szCs w:val="26"/>
        </w:rPr>
        <w:t>.</w:t>
      </w:r>
    </w:p>
    <w:p w14:paraId="13D18638" w14:textId="7D72531F"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Pr>
          <w:rFonts w:hint="cs"/>
          <w:sz w:val="26"/>
          <w:szCs w:val="26"/>
          <w:rtl/>
        </w:rPr>
        <w:t xml:space="preserve">(ג)       </w:t>
      </w:r>
      <w:r w:rsidRPr="00AB7CE3">
        <w:rPr>
          <w:sz w:val="26"/>
          <w:szCs w:val="26"/>
          <w:rtl/>
        </w:rPr>
        <w:t>בית המשפט רשאי, במקרים מיוחדים ומטעמים מיוחדים שיירשמו</w:t>
      </w:r>
      <w:r w:rsidRPr="00AB7CE3">
        <w:rPr>
          <w:sz w:val="26"/>
          <w:szCs w:val="26"/>
        </w:rPr>
        <w:t xml:space="preserve"> –</w:t>
      </w:r>
    </w:p>
    <w:p w14:paraId="4D64F2D0" w14:textId="5FCC6D28" w:rsidR="00530243" w:rsidRPr="00AB7CE3" w:rsidRDefault="00530243" w:rsidP="00530243">
      <w:pPr>
        <w:tabs>
          <w:tab w:val="left" w:pos="1020"/>
        </w:tabs>
        <w:autoSpaceDE w:val="0"/>
        <w:autoSpaceDN w:val="0"/>
        <w:adjustRightInd w:val="0"/>
        <w:snapToGrid w:val="0"/>
        <w:ind w:left="0"/>
        <w:contextualSpacing w:val="0"/>
        <w:textAlignment w:val="center"/>
        <w:rPr>
          <w:sz w:val="26"/>
          <w:szCs w:val="26"/>
        </w:rPr>
      </w:pPr>
      <w:r w:rsidRPr="00AB7CE3">
        <w:rPr>
          <w:sz w:val="26"/>
          <w:szCs w:val="26"/>
        </w:rPr>
        <w:t>(1)</w:t>
      </w:r>
      <w:r>
        <w:rPr>
          <w:sz w:val="26"/>
          <w:szCs w:val="26"/>
        </w:rPr>
        <w:t xml:space="preserve"> </w:t>
      </w:r>
      <w:r w:rsidRPr="00AB7CE3">
        <w:rPr>
          <w:sz w:val="26"/>
          <w:szCs w:val="26"/>
          <w:rtl/>
        </w:rPr>
        <w:t xml:space="preserve">לפסוק גמול למבקש או לתובע המייצג אף אם לא אושרה התובענה הייצוגית או שלא ניתנה הכרעה בתובענה הייצוגית לטובת הקבוצה, לפי </w:t>
      </w:r>
      <w:proofErr w:type="spellStart"/>
      <w:r w:rsidRPr="00AB7CE3">
        <w:rPr>
          <w:sz w:val="26"/>
          <w:szCs w:val="26"/>
          <w:rtl/>
        </w:rPr>
        <w:t>הענין</w:t>
      </w:r>
      <w:proofErr w:type="spellEnd"/>
      <w:r w:rsidRPr="00AB7CE3">
        <w:rPr>
          <w:sz w:val="26"/>
          <w:szCs w:val="26"/>
          <w:rtl/>
        </w:rPr>
        <w:t>, בהתחשב בשיקולים כאמור בסעיף קטן (ב)</w:t>
      </w:r>
      <w:r w:rsidRPr="00AB7CE3">
        <w:rPr>
          <w:sz w:val="26"/>
          <w:szCs w:val="26"/>
        </w:rPr>
        <w:t>;</w:t>
      </w:r>
    </w:p>
    <w:p w14:paraId="25CCC34F" w14:textId="77777777" w:rsidR="001E5404" w:rsidRDefault="00530243" w:rsidP="006B4C3D">
      <w:pPr>
        <w:tabs>
          <w:tab w:val="left" w:pos="1020"/>
        </w:tabs>
        <w:autoSpaceDE w:val="0"/>
        <w:autoSpaceDN w:val="0"/>
        <w:adjustRightInd w:val="0"/>
        <w:snapToGrid w:val="0"/>
        <w:ind w:left="0"/>
        <w:contextualSpacing w:val="0"/>
        <w:textAlignment w:val="center"/>
        <w:rPr>
          <w:b/>
          <w:bCs/>
          <w:sz w:val="26"/>
          <w:szCs w:val="26"/>
          <w:rtl/>
        </w:rPr>
      </w:pPr>
      <w:r w:rsidRPr="00AB7CE3">
        <w:rPr>
          <w:sz w:val="26"/>
          <w:szCs w:val="26"/>
        </w:rPr>
        <w:t>(2)</w:t>
      </w:r>
      <w:r>
        <w:rPr>
          <w:rFonts w:hint="cs"/>
          <w:sz w:val="26"/>
          <w:szCs w:val="26"/>
          <w:rtl/>
        </w:rPr>
        <w:t xml:space="preserve"> </w:t>
      </w:r>
      <w:r w:rsidRPr="00AB7CE3">
        <w:rPr>
          <w:sz w:val="26"/>
          <w:szCs w:val="26"/>
          <w:rtl/>
        </w:rPr>
        <w:t>לפסוק גמול לארגון שהשתתף בדיונים בתובענה הייצוגית לפי הוראות סעיף 15, אם מצא שהדבר מוצדק לאור הטרחה שטרח והתרומה שתרם בהשתתפותו בדיונים כאמור</w:t>
      </w:r>
      <w:r w:rsidRPr="00AB7CE3">
        <w:rPr>
          <w:sz w:val="26"/>
          <w:szCs w:val="26"/>
        </w:rPr>
        <w:t>.</w:t>
      </w:r>
      <w:r>
        <w:rPr>
          <w:rFonts w:hint="cs"/>
          <w:sz w:val="26"/>
          <w:szCs w:val="26"/>
          <w:rtl/>
        </w:rPr>
        <w:t>"</w:t>
      </w:r>
    </w:p>
    <w:p w14:paraId="6E66AAD2" w14:textId="77777777" w:rsidR="001E5404" w:rsidRDefault="001E5404" w:rsidP="006B4C3D">
      <w:pPr>
        <w:tabs>
          <w:tab w:val="left" w:pos="1020"/>
        </w:tabs>
        <w:autoSpaceDE w:val="0"/>
        <w:autoSpaceDN w:val="0"/>
        <w:adjustRightInd w:val="0"/>
        <w:snapToGrid w:val="0"/>
        <w:ind w:left="0"/>
        <w:contextualSpacing w:val="0"/>
        <w:textAlignment w:val="center"/>
        <w:rPr>
          <w:b/>
          <w:bCs/>
          <w:sz w:val="26"/>
          <w:szCs w:val="26"/>
          <w:rtl/>
        </w:rPr>
      </w:pPr>
    </w:p>
    <w:p w14:paraId="7FE76780" w14:textId="1AB7F4A9" w:rsidR="00C70BD1" w:rsidRPr="00C70BD1" w:rsidRDefault="00C70BD1" w:rsidP="006B4C3D">
      <w:pPr>
        <w:tabs>
          <w:tab w:val="left" w:pos="1020"/>
        </w:tabs>
        <w:autoSpaceDE w:val="0"/>
        <w:autoSpaceDN w:val="0"/>
        <w:adjustRightInd w:val="0"/>
        <w:snapToGrid w:val="0"/>
        <w:ind w:left="0"/>
        <w:contextualSpacing w:val="0"/>
        <w:textAlignment w:val="center"/>
        <w:rPr>
          <w:b/>
          <w:bCs/>
          <w:sz w:val="26"/>
          <w:szCs w:val="26"/>
          <w:rtl/>
        </w:rPr>
      </w:pPr>
      <w:r w:rsidRPr="00C70BD1">
        <w:rPr>
          <w:rFonts w:hint="cs"/>
          <w:b/>
          <w:bCs/>
          <w:sz w:val="26"/>
          <w:szCs w:val="26"/>
          <w:rtl/>
        </w:rPr>
        <w:t xml:space="preserve">סעיף </w:t>
      </w:r>
      <w:r w:rsidR="001E5404" w:rsidRPr="00C70BD1">
        <w:rPr>
          <w:rFonts w:hint="cs"/>
          <w:b/>
          <w:bCs/>
          <w:sz w:val="26"/>
          <w:szCs w:val="26"/>
          <w:rtl/>
        </w:rPr>
        <w:t>1</w:t>
      </w:r>
      <w:r w:rsidR="001E5404">
        <w:rPr>
          <w:rFonts w:hint="cs"/>
          <w:b/>
          <w:bCs/>
          <w:sz w:val="26"/>
          <w:szCs w:val="26"/>
          <w:rtl/>
        </w:rPr>
        <w:t>8</w:t>
      </w:r>
    </w:p>
    <w:p w14:paraId="6B7A858B" w14:textId="09EF8474"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מוצע לקבוע כי במקרים שבהם מצא בית המשפט כי הבקשה לאישור או התובענה הייצוגית הוגשה או נוהלה בחוסר תום לב על ידי המבקש או התובע הייצוגי או בא כוחו, יפסוק בית המשפט הוצאות סבירות והוגנות לטובת הנתבע. </w:t>
      </w:r>
    </w:p>
    <w:p w14:paraId="56622300" w14:textId="6785764A" w:rsid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פסיקת הוצאות היא כלי בידי בית המשפט דרכו ניתן להכווין התנהגות של צדדים במסגרת ניהול ההליך. על מנת להפחית ככל הניתן תביעות סרק ותביעות המנוהלות בחוסר תום לב ומן הצד השני לא להרתיע תובעים פוטנציאליים מהגשת תובענות ראויות, מוצע לקבוע כי חובת הטלת ההוצאות </w:t>
      </w:r>
      <w:r w:rsidR="00015C81">
        <w:rPr>
          <w:rFonts w:hint="cs"/>
          <w:sz w:val="26"/>
          <w:szCs w:val="26"/>
          <w:rtl/>
        </w:rPr>
        <w:t>תהיה רק</w:t>
      </w:r>
      <w:r w:rsidRPr="00C70BD1">
        <w:rPr>
          <w:rFonts w:hint="cs"/>
          <w:sz w:val="26"/>
          <w:szCs w:val="26"/>
          <w:rtl/>
        </w:rPr>
        <w:t xml:space="preserve"> במקרים שבהם מצא בית המשפט כי התביעה הוגשה או נוהלה בחוסר תום לב. בנוסף, בית המשפט יפסוק הוצאות סבירות והוגנות. בית המשפט יהיה רשאי להטיל את הוצאות המשפט על המבקש או על בא כוחו, בהתאם לשיקול דעתו.  </w:t>
      </w:r>
    </w:p>
    <w:p w14:paraId="234FD1FB" w14:textId="77777777" w:rsidR="006B4C3D" w:rsidRDefault="006B4C3D" w:rsidP="006B4C3D">
      <w:pPr>
        <w:tabs>
          <w:tab w:val="left" w:pos="1020"/>
        </w:tabs>
        <w:autoSpaceDE w:val="0"/>
        <w:autoSpaceDN w:val="0"/>
        <w:adjustRightInd w:val="0"/>
        <w:snapToGrid w:val="0"/>
        <w:ind w:left="0"/>
        <w:contextualSpacing w:val="0"/>
        <w:textAlignment w:val="center"/>
        <w:rPr>
          <w:sz w:val="26"/>
          <w:szCs w:val="26"/>
          <w:rtl/>
        </w:rPr>
      </w:pPr>
    </w:p>
    <w:p w14:paraId="1D228397" w14:textId="304AF08E" w:rsidR="00C70BD1" w:rsidRPr="00C70BD1" w:rsidRDefault="00C70BD1" w:rsidP="006B4C3D">
      <w:pPr>
        <w:tabs>
          <w:tab w:val="left" w:pos="1020"/>
        </w:tabs>
        <w:autoSpaceDE w:val="0"/>
        <w:autoSpaceDN w:val="0"/>
        <w:adjustRightInd w:val="0"/>
        <w:snapToGrid w:val="0"/>
        <w:ind w:left="0"/>
        <w:contextualSpacing w:val="0"/>
        <w:textAlignment w:val="center"/>
        <w:rPr>
          <w:b/>
          <w:bCs/>
          <w:sz w:val="26"/>
          <w:szCs w:val="26"/>
          <w:rtl/>
        </w:rPr>
      </w:pPr>
      <w:r w:rsidRPr="00C70BD1">
        <w:rPr>
          <w:rFonts w:hint="cs"/>
          <w:b/>
          <w:bCs/>
          <w:sz w:val="26"/>
          <w:szCs w:val="26"/>
          <w:rtl/>
        </w:rPr>
        <w:t xml:space="preserve">סעיף </w:t>
      </w:r>
      <w:r w:rsidR="001E5404">
        <w:rPr>
          <w:rFonts w:hint="cs"/>
          <w:b/>
          <w:bCs/>
          <w:sz w:val="26"/>
          <w:szCs w:val="26"/>
          <w:rtl/>
        </w:rPr>
        <w:t>20</w:t>
      </w:r>
    </w:p>
    <w:p w14:paraId="198075E5" w14:textId="77777777" w:rsidR="001E5404" w:rsidRDefault="001E5404" w:rsidP="006B4C3D">
      <w:pPr>
        <w:tabs>
          <w:tab w:val="left" w:pos="1020"/>
        </w:tabs>
        <w:autoSpaceDE w:val="0"/>
        <w:autoSpaceDN w:val="0"/>
        <w:adjustRightInd w:val="0"/>
        <w:snapToGrid w:val="0"/>
        <w:ind w:left="0"/>
        <w:contextualSpacing w:val="0"/>
        <w:textAlignment w:val="center"/>
        <w:rPr>
          <w:b/>
          <w:bCs/>
          <w:sz w:val="26"/>
          <w:szCs w:val="26"/>
          <w:rtl/>
        </w:rPr>
      </w:pPr>
      <w:r>
        <w:rPr>
          <w:rFonts w:hint="cs"/>
          <w:b/>
          <w:bCs/>
          <w:sz w:val="26"/>
          <w:szCs w:val="26"/>
          <w:rtl/>
        </w:rPr>
        <w:t>לפסקה (2)</w:t>
      </w:r>
    </w:p>
    <w:p w14:paraId="501F0AF3" w14:textId="1B75D547"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מוצע לקבוע כי במקרים שבהם נקבע פיצוי לחברי הקבוצה, במסגרת פסק דין או אישור הסדר פשרה, בית המשפט יורה על פרסום ההודעה בדבר מתן הפיצוי באתר האינטרנט של הנתבע וכן בכל אמצעי קשר </w:t>
      </w:r>
      <w:r w:rsidRPr="00C70BD1">
        <w:rPr>
          <w:rFonts w:hint="cs"/>
          <w:sz w:val="26"/>
          <w:szCs w:val="26"/>
          <w:rtl/>
        </w:rPr>
        <w:lastRenderedPageBreak/>
        <w:t>דיגיטלי אחר שיש לנתבע עם לקוחותי</w:t>
      </w:r>
      <w:r w:rsidR="00E75E6A">
        <w:rPr>
          <w:rFonts w:hint="cs"/>
          <w:sz w:val="26"/>
          <w:szCs w:val="26"/>
          <w:rtl/>
        </w:rPr>
        <w:t>ו</w:t>
      </w:r>
      <w:r w:rsidRPr="00C70BD1">
        <w:rPr>
          <w:rFonts w:hint="cs"/>
          <w:sz w:val="26"/>
          <w:szCs w:val="26"/>
          <w:rtl/>
        </w:rPr>
        <w:t xml:space="preserve">, כולל במסגרת </w:t>
      </w:r>
      <w:r w:rsidR="00015C81">
        <w:rPr>
          <w:rFonts w:hint="cs"/>
          <w:sz w:val="26"/>
          <w:szCs w:val="26"/>
          <w:rtl/>
        </w:rPr>
        <w:t>חשבונות שמפעיל הנתבע ב</w:t>
      </w:r>
      <w:r w:rsidRPr="00C70BD1">
        <w:rPr>
          <w:rFonts w:hint="cs"/>
          <w:sz w:val="26"/>
          <w:szCs w:val="26"/>
          <w:rtl/>
        </w:rPr>
        <w:t>רשתות החברתיות.</w:t>
      </w:r>
    </w:p>
    <w:p w14:paraId="51F3F6F9" w14:textId="4DC8A4D5" w:rsidR="00C70BD1" w:rsidRPr="00C70BD1" w:rsidRDefault="00C70BD1" w:rsidP="006B4C3D">
      <w:pPr>
        <w:tabs>
          <w:tab w:val="left" w:pos="1020"/>
        </w:tabs>
        <w:autoSpaceDE w:val="0"/>
        <w:autoSpaceDN w:val="0"/>
        <w:adjustRightInd w:val="0"/>
        <w:snapToGrid w:val="0"/>
        <w:ind w:left="0"/>
        <w:contextualSpacing w:val="0"/>
        <w:textAlignment w:val="center"/>
        <w:rPr>
          <w:sz w:val="26"/>
          <w:szCs w:val="26"/>
          <w:rtl/>
        </w:rPr>
      </w:pPr>
      <w:r w:rsidRPr="00C70BD1">
        <w:rPr>
          <w:sz w:val="26"/>
          <w:szCs w:val="26"/>
          <w:rtl/>
        </w:rPr>
        <w:t>אופן פרסום ההודעות לחברי הקבוצה בדבר הפיצוי שעליו הוסכם במסגרת הסדר פשרה או פסק דין, הוא שיכריע פעמים רבות האם הפיצוי יגיע בפועל אל חברי הקבוצה</w:t>
      </w:r>
      <w:r w:rsidRPr="00C70BD1">
        <w:rPr>
          <w:rFonts w:hint="cs"/>
          <w:sz w:val="26"/>
          <w:szCs w:val="26"/>
          <w:rtl/>
        </w:rPr>
        <w:t xml:space="preserve">. כיום, מקובל במקרים רבים לפרסם לחברי הקבוצה את האפשרות לקבל את הפיצוי בעיתונות הכתובה. </w:t>
      </w:r>
      <w:r w:rsidRPr="00C70BD1">
        <w:rPr>
          <w:sz w:val="26"/>
          <w:szCs w:val="26"/>
          <w:rtl/>
        </w:rPr>
        <w:t>דוגמא ל</w:t>
      </w:r>
      <w:r w:rsidRPr="00C70BD1">
        <w:rPr>
          <w:rFonts w:hint="cs"/>
          <w:sz w:val="26"/>
          <w:szCs w:val="26"/>
          <w:rtl/>
        </w:rPr>
        <w:t xml:space="preserve">חוסר האפקטיביות של הפרסום בעיתונות </w:t>
      </w:r>
      <w:r w:rsidRPr="00C70BD1">
        <w:rPr>
          <w:sz w:val="26"/>
          <w:szCs w:val="26"/>
          <w:rtl/>
        </w:rPr>
        <w:t xml:space="preserve">כך ניתן למצוא </w:t>
      </w:r>
      <w:proofErr w:type="spellStart"/>
      <w:r w:rsidRPr="00C70BD1">
        <w:rPr>
          <w:sz w:val="26"/>
          <w:szCs w:val="26"/>
          <w:rtl/>
        </w:rPr>
        <w:t>בת"צ</w:t>
      </w:r>
      <w:proofErr w:type="spellEnd"/>
      <w:r w:rsidRPr="00C70BD1">
        <w:rPr>
          <w:sz w:val="26"/>
          <w:szCs w:val="26"/>
          <w:rtl/>
        </w:rPr>
        <w:t xml:space="preserve"> (מחוזי ת"א) 27789-11-14 </w:t>
      </w:r>
      <w:r w:rsidRPr="006B4C3D">
        <w:rPr>
          <w:sz w:val="26"/>
          <w:szCs w:val="26"/>
          <w:rtl/>
        </w:rPr>
        <w:t xml:space="preserve">ממן נ' </w:t>
      </w:r>
      <w:r w:rsidRPr="006B4C3D">
        <w:rPr>
          <w:sz w:val="26"/>
          <w:szCs w:val="26"/>
        </w:rPr>
        <w:t>Alia- Royal Jordanian Airlines Co</w:t>
      </w:r>
      <w:r w:rsidRPr="00C70BD1">
        <w:rPr>
          <w:sz w:val="26"/>
          <w:szCs w:val="26"/>
          <w:rtl/>
        </w:rPr>
        <w:t xml:space="preserve"> (פורסם ב</w:t>
      </w:r>
      <w:r w:rsidR="0024017C">
        <w:rPr>
          <w:sz w:val="26"/>
          <w:szCs w:val="26"/>
          <w:rtl/>
        </w:rPr>
        <w:t xml:space="preserve">פורסם </w:t>
      </w:r>
      <w:proofErr w:type="spellStart"/>
      <w:r w:rsidR="0024017C">
        <w:rPr>
          <w:sz w:val="26"/>
          <w:szCs w:val="26"/>
          <w:rtl/>
        </w:rPr>
        <w:t>באר"ש</w:t>
      </w:r>
      <w:proofErr w:type="spellEnd"/>
      <w:r w:rsidR="0024017C">
        <w:rPr>
          <w:sz w:val="26"/>
          <w:szCs w:val="26"/>
          <w:rtl/>
        </w:rPr>
        <w:t>,</w:t>
      </w:r>
      <w:r w:rsidRPr="00C70BD1">
        <w:rPr>
          <w:sz w:val="26"/>
          <w:szCs w:val="26"/>
          <w:rtl/>
        </w:rPr>
        <w:t xml:space="preserve"> 25.7.2019) שם לאחר אישור הסדר הפשרה הודיעו הצדדים לבית המשפט כי מתוך כ-1410 חברי קבוצה, 19 חברי קבוצה בלבד פנו לקבלת הפיצוי, וזאת על אף סכום הפיצוי המשמעותי לכל חבר קבוצה</w:t>
      </w:r>
      <w:r w:rsidRPr="00C70BD1">
        <w:rPr>
          <w:rFonts w:hint="cs"/>
          <w:sz w:val="26"/>
          <w:szCs w:val="26"/>
          <w:rtl/>
        </w:rPr>
        <w:t xml:space="preserve">. בעניין זה, </w:t>
      </w:r>
      <w:r w:rsidRPr="00C70BD1">
        <w:rPr>
          <w:sz w:val="26"/>
          <w:szCs w:val="26"/>
          <w:rtl/>
        </w:rPr>
        <w:t>בית המשפט העליון</w:t>
      </w:r>
      <w:r w:rsidRPr="00C70BD1">
        <w:rPr>
          <w:rFonts w:hint="cs"/>
          <w:sz w:val="26"/>
          <w:szCs w:val="26"/>
          <w:rtl/>
        </w:rPr>
        <w:t>,</w:t>
      </w:r>
      <w:r w:rsidRPr="00C70BD1">
        <w:rPr>
          <w:sz w:val="26"/>
          <w:szCs w:val="26"/>
          <w:rtl/>
        </w:rPr>
        <w:t xml:space="preserve"> בערעור על אישור הסדר הפשרה התייחס לסוגיית פרסום הסדר הפשרה ו</w:t>
      </w:r>
      <w:r w:rsidRPr="00C70BD1">
        <w:rPr>
          <w:rFonts w:hint="cs"/>
          <w:sz w:val="26"/>
          <w:szCs w:val="26"/>
          <w:rtl/>
        </w:rPr>
        <w:t xml:space="preserve">קבע </w:t>
      </w:r>
      <w:r w:rsidRPr="00C70BD1">
        <w:rPr>
          <w:sz w:val="26"/>
          <w:szCs w:val="26"/>
          <w:rtl/>
        </w:rPr>
        <w:t>כי ככלל, כאשר חברה מתקשרת בהסדר פשרה בתובענה ייצוגית, מן הראוי שהדבר יפורסם באתר האינטרנט שלה כך שציבור לקוחותיה יהיה ער לכך</w:t>
      </w:r>
      <w:r w:rsidR="00B526EE">
        <w:rPr>
          <w:rFonts w:hint="cs"/>
          <w:sz w:val="26"/>
          <w:szCs w:val="26"/>
          <w:rtl/>
        </w:rPr>
        <w:t xml:space="preserve"> (בעניין זה ראו גם רע"א 6024/23 </w:t>
      </w:r>
      <w:proofErr w:type="spellStart"/>
      <w:r w:rsidR="00B526EE">
        <w:rPr>
          <w:rFonts w:hint="cs"/>
          <w:sz w:val="26"/>
          <w:szCs w:val="26"/>
          <w:rtl/>
        </w:rPr>
        <w:t>יקירביץ</w:t>
      </w:r>
      <w:proofErr w:type="spellEnd"/>
      <w:r w:rsidR="00B526EE">
        <w:rPr>
          <w:rFonts w:hint="cs"/>
          <w:sz w:val="26"/>
          <w:szCs w:val="26"/>
          <w:rtl/>
        </w:rPr>
        <w:t xml:space="preserve"> נ' דגן ואח' (פורסם ב</w:t>
      </w:r>
      <w:r w:rsidR="0024017C">
        <w:rPr>
          <w:rFonts w:hint="cs"/>
          <w:sz w:val="26"/>
          <w:szCs w:val="26"/>
          <w:rtl/>
        </w:rPr>
        <w:t xml:space="preserve">פורסם </w:t>
      </w:r>
      <w:proofErr w:type="spellStart"/>
      <w:r w:rsidR="0024017C">
        <w:rPr>
          <w:rFonts w:hint="cs"/>
          <w:sz w:val="26"/>
          <w:szCs w:val="26"/>
          <w:rtl/>
        </w:rPr>
        <w:t>באר</w:t>
      </w:r>
      <w:r w:rsidR="0024017C">
        <w:rPr>
          <w:sz w:val="26"/>
          <w:szCs w:val="26"/>
          <w:rtl/>
        </w:rPr>
        <w:t>"</w:t>
      </w:r>
      <w:r w:rsidR="0024017C">
        <w:rPr>
          <w:rFonts w:hint="cs"/>
          <w:sz w:val="26"/>
          <w:szCs w:val="26"/>
          <w:rtl/>
        </w:rPr>
        <w:t>ש</w:t>
      </w:r>
      <w:proofErr w:type="spellEnd"/>
      <w:r w:rsidR="0024017C">
        <w:rPr>
          <w:rFonts w:hint="cs"/>
          <w:sz w:val="26"/>
          <w:szCs w:val="26"/>
          <w:rtl/>
        </w:rPr>
        <w:t>,</w:t>
      </w:r>
      <w:r w:rsidR="00B526EE">
        <w:rPr>
          <w:rFonts w:hint="cs"/>
          <w:sz w:val="26"/>
          <w:szCs w:val="26"/>
          <w:rtl/>
        </w:rPr>
        <w:t xml:space="preserve"> 29.10.2023)</w:t>
      </w:r>
      <w:r w:rsidRPr="00C70BD1">
        <w:rPr>
          <w:sz w:val="26"/>
          <w:szCs w:val="26"/>
          <w:rtl/>
        </w:rPr>
        <w:t>.</w:t>
      </w:r>
      <w:r w:rsidRPr="00C70BD1">
        <w:rPr>
          <w:rFonts w:hint="cs"/>
          <w:sz w:val="26"/>
          <w:szCs w:val="26"/>
          <w:rtl/>
        </w:rPr>
        <w:t xml:space="preserve"> </w:t>
      </w:r>
      <w:r w:rsidRPr="00C70BD1">
        <w:rPr>
          <w:sz w:val="26"/>
          <w:szCs w:val="26"/>
          <w:rtl/>
        </w:rPr>
        <w:t xml:space="preserve">בעידן של היום שבו למרבית החברות במשק יש </w:t>
      </w:r>
      <w:r w:rsidR="00015C81">
        <w:rPr>
          <w:rFonts w:hint="cs"/>
          <w:sz w:val="26"/>
          <w:szCs w:val="26"/>
          <w:rtl/>
        </w:rPr>
        <w:t xml:space="preserve">אתרי </w:t>
      </w:r>
      <w:r w:rsidRPr="00C70BD1">
        <w:rPr>
          <w:sz w:val="26"/>
          <w:szCs w:val="26"/>
          <w:rtl/>
        </w:rPr>
        <w:t>אינטרנט וכן חשבונות ברשתות החברתיות השונות, ניתן להניח שהאפשרות ליידע את הלקוחות של הנתבע</w:t>
      </w:r>
      <w:r w:rsidR="00E75E6A">
        <w:rPr>
          <w:rFonts w:hint="cs"/>
          <w:sz w:val="26"/>
          <w:szCs w:val="26"/>
          <w:rtl/>
        </w:rPr>
        <w:t>ים</w:t>
      </w:r>
      <w:r w:rsidRPr="00C70BD1">
        <w:rPr>
          <w:sz w:val="26"/>
          <w:szCs w:val="26"/>
          <w:rtl/>
        </w:rPr>
        <w:t xml:space="preserve"> היא </w:t>
      </w:r>
      <w:r w:rsidRPr="00C70BD1">
        <w:rPr>
          <w:rFonts w:eastAsia="Calibri"/>
          <w:sz w:val="26"/>
          <w:szCs w:val="26"/>
          <w:rtl/>
        </w:rPr>
        <w:t>גדולה</w:t>
      </w:r>
      <w:r w:rsidRPr="00C70BD1">
        <w:rPr>
          <w:sz w:val="26"/>
          <w:szCs w:val="26"/>
          <w:rtl/>
        </w:rPr>
        <w:t xml:space="preserve"> יותר באמצעות אמצעים אלו ובעלות מינימלית. בנוסף, בהרבה מקרים כאשר מדובר בנתבע</w:t>
      </w:r>
      <w:r w:rsidR="00E75E6A">
        <w:rPr>
          <w:rFonts w:hint="cs"/>
          <w:sz w:val="26"/>
          <w:szCs w:val="26"/>
          <w:rtl/>
        </w:rPr>
        <w:t>ים</w:t>
      </w:r>
      <w:r w:rsidRPr="00C70BD1">
        <w:rPr>
          <w:sz w:val="26"/>
          <w:szCs w:val="26"/>
          <w:rtl/>
        </w:rPr>
        <w:t xml:space="preserve"> שיש לה</w:t>
      </w:r>
      <w:r w:rsidR="00E75E6A">
        <w:rPr>
          <w:rFonts w:hint="cs"/>
          <w:sz w:val="26"/>
          <w:szCs w:val="26"/>
          <w:rtl/>
        </w:rPr>
        <w:t>ם</w:t>
      </w:r>
      <w:r w:rsidRPr="00C70BD1">
        <w:rPr>
          <w:sz w:val="26"/>
          <w:szCs w:val="26"/>
          <w:rtl/>
        </w:rPr>
        <w:t xml:space="preserve"> קשר מתמשך עם הלקוחות יש לה</w:t>
      </w:r>
      <w:r w:rsidRPr="00C70BD1">
        <w:rPr>
          <w:rFonts w:hint="cs"/>
          <w:sz w:val="26"/>
          <w:szCs w:val="26"/>
          <w:rtl/>
        </w:rPr>
        <w:t>ן</w:t>
      </w:r>
      <w:r w:rsidRPr="00C70BD1">
        <w:rPr>
          <w:sz w:val="26"/>
          <w:szCs w:val="26"/>
          <w:rtl/>
        </w:rPr>
        <w:t xml:space="preserve"> את פרטי הקשר של</w:t>
      </w:r>
      <w:r w:rsidRPr="00C70BD1">
        <w:rPr>
          <w:rFonts w:hint="cs"/>
          <w:sz w:val="26"/>
          <w:szCs w:val="26"/>
          <w:rtl/>
        </w:rPr>
        <w:t xml:space="preserve"> הלקוחות</w:t>
      </w:r>
      <w:r w:rsidRPr="00C70BD1">
        <w:rPr>
          <w:sz w:val="26"/>
          <w:szCs w:val="26"/>
          <w:rtl/>
        </w:rPr>
        <w:t xml:space="preserve"> וניתן ליצור עמם קשר ישיר ופרטני באמצעות דיוור דיגיטלי או באמצעי קשר אחר שיש לנתבע. </w:t>
      </w:r>
    </w:p>
    <w:p w14:paraId="7A14F8A2" w14:textId="0D27661E" w:rsidR="00896309" w:rsidRPr="001359A4" w:rsidRDefault="00C70BD1" w:rsidP="001359A4">
      <w:pPr>
        <w:tabs>
          <w:tab w:val="left" w:pos="1020"/>
        </w:tabs>
        <w:autoSpaceDE w:val="0"/>
        <w:autoSpaceDN w:val="0"/>
        <w:adjustRightInd w:val="0"/>
        <w:snapToGrid w:val="0"/>
        <w:ind w:left="0"/>
        <w:contextualSpacing w:val="0"/>
        <w:textAlignment w:val="center"/>
        <w:rPr>
          <w:sz w:val="26"/>
          <w:szCs w:val="26"/>
          <w:rtl/>
        </w:rPr>
      </w:pPr>
      <w:r w:rsidRPr="00C70BD1">
        <w:rPr>
          <w:rFonts w:hint="cs"/>
          <w:sz w:val="26"/>
          <w:szCs w:val="26"/>
          <w:rtl/>
        </w:rPr>
        <w:t xml:space="preserve">על כן, מוצע לקבוע </w:t>
      </w:r>
      <w:r w:rsidR="00896309">
        <w:rPr>
          <w:rFonts w:hint="cs"/>
          <w:sz w:val="26"/>
          <w:szCs w:val="26"/>
          <w:rtl/>
        </w:rPr>
        <w:t xml:space="preserve">באופן כללי </w:t>
      </w:r>
      <w:r w:rsidRPr="00C70BD1">
        <w:rPr>
          <w:rFonts w:hint="cs"/>
          <w:sz w:val="26"/>
          <w:szCs w:val="26"/>
          <w:rtl/>
        </w:rPr>
        <w:t>חובת פרסום הפיצוי לחברי הקבוצה באמצעים הדיגיטליים של הנתבע</w:t>
      </w:r>
      <w:r w:rsidR="00896309">
        <w:rPr>
          <w:rFonts w:hint="cs"/>
          <w:sz w:val="26"/>
          <w:szCs w:val="26"/>
          <w:rtl/>
        </w:rPr>
        <w:t xml:space="preserve">. כלומר, באתר </w:t>
      </w:r>
      <w:r w:rsidR="00015C81">
        <w:rPr>
          <w:rFonts w:hint="cs"/>
          <w:sz w:val="26"/>
          <w:szCs w:val="26"/>
          <w:rtl/>
        </w:rPr>
        <w:t xml:space="preserve">האינטרנט </w:t>
      </w:r>
      <w:r w:rsidR="00E75E6A">
        <w:rPr>
          <w:rFonts w:hint="cs"/>
          <w:sz w:val="26"/>
          <w:szCs w:val="26"/>
          <w:rtl/>
        </w:rPr>
        <w:t xml:space="preserve">שלו </w:t>
      </w:r>
      <w:r w:rsidR="00896309">
        <w:rPr>
          <w:rFonts w:hint="cs"/>
          <w:sz w:val="26"/>
          <w:szCs w:val="26"/>
          <w:rtl/>
        </w:rPr>
        <w:t>או ב</w:t>
      </w:r>
      <w:r w:rsidR="00FC311D">
        <w:rPr>
          <w:rFonts w:hint="cs"/>
          <w:sz w:val="26"/>
          <w:szCs w:val="26"/>
          <w:rtl/>
        </w:rPr>
        <w:t>חשב</w:t>
      </w:r>
      <w:r w:rsidR="00EC0312">
        <w:rPr>
          <w:rFonts w:hint="cs"/>
          <w:sz w:val="26"/>
          <w:szCs w:val="26"/>
          <w:rtl/>
        </w:rPr>
        <w:t>ו</w:t>
      </w:r>
      <w:r w:rsidR="00FC311D">
        <w:rPr>
          <w:rFonts w:hint="cs"/>
          <w:sz w:val="26"/>
          <w:szCs w:val="26"/>
          <w:rtl/>
        </w:rPr>
        <w:t>נות שלו ב</w:t>
      </w:r>
      <w:r w:rsidR="00896309">
        <w:rPr>
          <w:rFonts w:hint="cs"/>
          <w:sz w:val="26"/>
          <w:szCs w:val="26"/>
          <w:rtl/>
        </w:rPr>
        <w:t xml:space="preserve">רשתות החברתיות, ככל </w:t>
      </w:r>
      <w:r w:rsidR="00FC311D">
        <w:rPr>
          <w:rFonts w:hint="cs"/>
          <w:sz w:val="26"/>
          <w:szCs w:val="26"/>
          <w:rtl/>
        </w:rPr>
        <w:t xml:space="preserve">שקיימים כאלה </w:t>
      </w:r>
      <w:r w:rsidR="00866AFA">
        <w:rPr>
          <w:rFonts w:hint="cs"/>
          <w:sz w:val="26"/>
          <w:szCs w:val="26"/>
          <w:rtl/>
        </w:rPr>
        <w:t>וזאת באופן ברור ובולט</w:t>
      </w:r>
      <w:r w:rsidR="00896309">
        <w:rPr>
          <w:rFonts w:hint="cs"/>
          <w:sz w:val="26"/>
          <w:szCs w:val="26"/>
          <w:rtl/>
        </w:rPr>
        <w:t xml:space="preserve">. בנוסף, אם נקבע שעל הנתבע לפצות את חברי הקבוצה בפיצוי אישי ויש </w:t>
      </w:r>
      <w:r w:rsidR="00E75E6A">
        <w:rPr>
          <w:rFonts w:hint="cs"/>
          <w:sz w:val="26"/>
          <w:szCs w:val="26"/>
          <w:rtl/>
        </w:rPr>
        <w:t xml:space="preserve">בידיו </w:t>
      </w:r>
      <w:r w:rsidR="001359A4">
        <w:rPr>
          <w:rFonts w:hint="cs"/>
          <w:sz w:val="26"/>
          <w:szCs w:val="26"/>
          <w:rtl/>
        </w:rPr>
        <w:t xml:space="preserve">את </w:t>
      </w:r>
      <w:r w:rsidRPr="00C70BD1">
        <w:rPr>
          <w:sz w:val="26"/>
          <w:szCs w:val="26"/>
          <w:rtl/>
        </w:rPr>
        <w:t>פרטי חברי הקבוצה</w:t>
      </w:r>
      <w:r w:rsidRPr="00C70BD1">
        <w:rPr>
          <w:rFonts w:hint="cs"/>
          <w:sz w:val="26"/>
          <w:szCs w:val="26"/>
          <w:rtl/>
        </w:rPr>
        <w:t xml:space="preserve"> או שיש בידיה אפשרות סבירה לזהותם ולאתרם בעלות סבירה, בית המשפט יורה, בנוסף לפרסום באמצעי הקשר הדיגיטליים של הנתבע</w:t>
      </w:r>
      <w:r w:rsidR="00896309">
        <w:rPr>
          <w:rFonts w:hint="cs"/>
          <w:sz w:val="26"/>
          <w:szCs w:val="26"/>
          <w:rtl/>
        </w:rPr>
        <w:t xml:space="preserve"> כאמור לעיל</w:t>
      </w:r>
      <w:r w:rsidRPr="00C70BD1">
        <w:rPr>
          <w:rFonts w:hint="cs"/>
          <w:sz w:val="26"/>
          <w:szCs w:val="26"/>
          <w:rtl/>
        </w:rPr>
        <w:t xml:space="preserve"> גם על מסירת הודעה אישית</w:t>
      </w:r>
      <w:r w:rsidR="00896309">
        <w:rPr>
          <w:rFonts w:hint="cs"/>
          <w:sz w:val="26"/>
          <w:szCs w:val="26"/>
          <w:rtl/>
        </w:rPr>
        <w:t>, כאשר בעניין זה יש העדפה להודעה אישית בדרך של מסרון או באמצעות דואר אלקטרוני</w:t>
      </w:r>
      <w:r w:rsidRPr="00C70BD1">
        <w:rPr>
          <w:rFonts w:hint="cs"/>
          <w:sz w:val="26"/>
          <w:szCs w:val="26"/>
          <w:rtl/>
        </w:rPr>
        <w:t>.</w:t>
      </w:r>
      <w:r w:rsidRPr="00C70BD1">
        <w:rPr>
          <w:sz w:val="26"/>
          <w:szCs w:val="26"/>
          <w:rtl/>
        </w:rPr>
        <w:t xml:space="preserve"> </w:t>
      </w:r>
    </w:p>
    <w:p w14:paraId="25E84092" w14:textId="4F5B01AB" w:rsidR="0012163E" w:rsidRPr="0012163E" w:rsidRDefault="0012163E" w:rsidP="0012163E">
      <w:pPr>
        <w:tabs>
          <w:tab w:val="left" w:pos="1020"/>
        </w:tabs>
        <w:autoSpaceDE w:val="0"/>
        <w:autoSpaceDN w:val="0"/>
        <w:adjustRightInd w:val="0"/>
        <w:snapToGrid w:val="0"/>
        <w:ind w:left="0"/>
        <w:contextualSpacing w:val="0"/>
        <w:textAlignment w:val="center"/>
        <w:rPr>
          <w:sz w:val="26"/>
          <w:szCs w:val="26"/>
          <w:rtl/>
        </w:rPr>
      </w:pPr>
      <w:r>
        <w:rPr>
          <w:rFonts w:hint="cs"/>
          <w:sz w:val="26"/>
          <w:szCs w:val="26"/>
          <w:rtl/>
        </w:rPr>
        <w:t>עוד מוצע בפסקה (1) לבטל את ההפניה לסעיף 22 וזאת לאור ביטול הסעיף.</w:t>
      </w:r>
    </w:p>
    <w:p w14:paraId="4FE0EB35" w14:textId="02AC3DE1" w:rsidR="0012163E" w:rsidRDefault="0012163E" w:rsidP="006B4C3D">
      <w:pPr>
        <w:tabs>
          <w:tab w:val="left" w:pos="1020"/>
        </w:tabs>
        <w:autoSpaceDE w:val="0"/>
        <w:autoSpaceDN w:val="0"/>
        <w:adjustRightInd w:val="0"/>
        <w:snapToGrid w:val="0"/>
        <w:ind w:left="0"/>
        <w:contextualSpacing w:val="0"/>
        <w:textAlignment w:val="center"/>
        <w:rPr>
          <w:b/>
          <w:bCs/>
          <w:sz w:val="26"/>
          <w:szCs w:val="26"/>
          <w:rtl/>
        </w:rPr>
      </w:pPr>
    </w:p>
    <w:p w14:paraId="7727FFB6" w14:textId="25E608EB" w:rsidR="0075332F" w:rsidRDefault="0075332F" w:rsidP="006B4C3D">
      <w:pPr>
        <w:tabs>
          <w:tab w:val="left" w:pos="1020"/>
        </w:tabs>
        <w:autoSpaceDE w:val="0"/>
        <w:autoSpaceDN w:val="0"/>
        <w:adjustRightInd w:val="0"/>
        <w:snapToGrid w:val="0"/>
        <w:ind w:left="0"/>
        <w:contextualSpacing w:val="0"/>
        <w:textAlignment w:val="center"/>
        <w:rPr>
          <w:b/>
          <w:bCs/>
          <w:sz w:val="26"/>
          <w:szCs w:val="26"/>
          <w:rtl/>
        </w:rPr>
      </w:pPr>
      <w:r w:rsidRPr="00C70BD1">
        <w:rPr>
          <w:rFonts w:hint="cs"/>
          <w:b/>
          <w:bCs/>
          <w:sz w:val="26"/>
          <w:szCs w:val="26"/>
          <w:rtl/>
        </w:rPr>
        <w:t xml:space="preserve">סעיף </w:t>
      </w:r>
      <w:r w:rsidR="001E5404">
        <w:rPr>
          <w:rFonts w:hint="cs"/>
          <w:b/>
          <w:bCs/>
          <w:sz w:val="26"/>
          <w:szCs w:val="26"/>
          <w:rtl/>
        </w:rPr>
        <w:t>21</w:t>
      </w:r>
    </w:p>
    <w:p w14:paraId="6ECE15BD" w14:textId="77777777" w:rsidR="0075332F" w:rsidRPr="0075332F" w:rsidRDefault="0075332F" w:rsidP="006B4C3D">
      <w:pPr>
        <w:tabs>
          <w:tab w:val="left" w:pos="1020"/>
        </w:tabs>
        <w:autoSpaceDE w:val="0"/>
        <w:autoSpaceDN w:val="0"/>
        <w:adjustRightInd w:val="0"/>
        <w:snapToGrid w:val="0"/>
        <w:ind w:left="0"/>
        <w:contextualSpacing w:val="0"/>
        <w:textAlignment w:val="center"/>
        <w:rPr>
          <w:sz w:val="26"/>
          <w:szCs w:val="26"/>
          <w:rtl/>
        </w:rPr>
      </w:pPr>
      <w:r w:rsidRPr="0075332F">
        <w:rPr>
          <w:sz w:val="26"/>
          <w:szCs w:val="26"/>
          <w:rtl/>
        </w:rPr>
        <w:t xml:space="preserve">סעיף 27 לחוק תובענות ייצוגיות שעניינו הקרן למימון תובענות ייצוגיות, מסדיר את הקמתה ופעילותה של הקרן למימון תובענות ייצוגיות (להלן- הקרן), שתפקידה לסייע לתובעים מייצגים במימון בקשות לאישור תובענות ייצוגיות ותובענות ייצוגיות אשר יש חשיבות ציבורית וחברתית בהגשתן ובבירורן. </w:t>
      </w:r>
      <w:r w:rsidRPr="0075332F">
        <w:rPr>
          <w:sz w:val="26"/>
          <w:szCs w:val="26"/>
        </w:rPr>
        <w:t xml:space="preserve"> </w:t>
      </w:r>
    </w:p>
    <w:p w14:paraId="7324DB82" w14:textId="77777777" w:rsidR="0075332F" w:rsidRPr="0075332F" w:rsidRDefault="0075332F" w:rsidP="006B4C3D">
      <w:pPr>
        <w:tabs>
          <w:tab w:val="left" w:pos="1020"/>
        </w:tabs>
        <w:autoSpaceDE w:val="0"/>
        <w:autoSpaceDN w:val="0"/>
        <w:adjustRightInd w:val="0"/>
        <w:snapToGrid w:val="0"/>
        <w:ind w:left="0"/>
        <w:contextualSpacing w:val="0"/>
        <w:textAlignment w:val="center"/>
        <w:rPr>
          <w:sz w:val="26"/>
          <w:szCs w:val="26"/>
          <w:rtl/>
        </w:rPr>
      </w:pPr>
      <w:r w:rsidRPr="0075332F">
        <w:rPr>
          <w:sz w:val="26"/>
          <w:szCs w:val="26"/>
          <w:rtl/>
        </w:rPr>
        <w:t xml:space="preserve">סעיף קטן (ו) של סעיף 27 קובע כי הקרן תפעל במשך תקופה של שבע שנים מיום פרסומו של החוק, ואולם רשאי שר המשפטים בצו, להאריך את התקופה האמורה, בתקופה נוספת. </w:t>
      </w:r>
    </w:p>
    <w:p w14:paraId="68060123" w14:textId="77777777" w:rsidR="0075332F" w:rsidRPr="0075332F" w:rsidRDefault="0075332F" w:rsidP="006B4C3D">
      <w:pPr>
        <w:tabs>
          <w:tab w:val="left" w:pos="1020"/>
        </w:tabs>
        <w:autoSpaceDE w:val="0"/>
        <w:autoSpaceDN w:val="0"/>
        <w:adjustRightInd w:val="0"/>
        <w:snapToGrid w:val="0"/>
        <w:ind w:left="0"/>
        <w:contextualSpacing w:val="0"/>
        <w:textAlignment w:val="center"/>
        <w:rPr>
          <w:sz w:val="26"/>
          <w:szCs w:val="26"/>
          <w:rtl/>
        </w:rPr>
      </w:pPr>
      <w:r w:rsidRPr="0075332F">
        <w:rPr>
          <w:sz w:val="26"/>
          <w:szCs w:val="26"/>
          <w:rtl/>
        </w:rPr>
        <w:t>בדברי ההסבר להצעת חוק תובענות ייצוגיות, התשס"ו-2006 (ר' הצעות חוק הממשלה 234, עמ' 280) צוין כי לאור החדשנות שבהקמת הקרן, מוצע להגביל את תקופת קיומה ל-7 שנים כאשר במהלך התקופה תיבחן עבודתה של הקרן ויעילותה במימוש מטרותיה.</w:t>
      </w:r>
    </w:p>
    <w:p w14:paraId="7C3F88AB" w14:textId="139EE007" w:rsidR="0075332F" w:rsidRDefault="0075332F" w:rsidP="00CF70EB">
      <w:pPr>
        <w:tabs>
          <w:tab w:val="left" w:pos="1020"/>
        </w:tabs>
        <w:autoSpaceDE w:val="0"/>
        <w:autoSpaceDN w:val="0"/>
        <w:adjustRightInd w:val="0"/>
        <w:snapToGrid w:val="0"/>
        <w:ind w:left="0"/>
        <w:contextualSpacing w:val="0"/>
        <w:textAlignment w:val="center"/>
        <w:rPr>
          <w:sz w:val="26"/>
          <w:szCs w:val="26"/>
          <w:rtl/>
        </w:rPr>
      </w:pPr>
      <w:r w:rsidRPr="0075332F">
        <w:rPr>
          <w:sz w:val="26"/>
          <w:szCs w:val="26"/>
          <w:rtl/>
        </w:rPr>
        <w:t>תקופת פעילותה של הקרן הוארכה מספר פעמים לאורך השנים, בצווים של שרי המשפטים ובהתאם להארכה האחרונה מיום</w:t>
      </w:r>
      <w:r w:rsidR="00CF70EB">
        <w:rPr>
          <w:rFonts w:hint="cs"/>
          <w:sz w:val="26"/>
          <w:szCs w:val="26"/>
          <w:rtl/>
        </w:rPr>
        <w:t xml:space="preserve"> ח' באדר ב' </w:t>
      </w:r>
      <w:proofErr w:type="spellStart"/>
      <w:r w:rsidR="00CF70EB">
        <w:rPr>
          <w:rFonts w:hint="cs"/>
          <w:sz w:val="26"/>
          <w:szCs w:val="26"/>
          <w:rtl/>
        </w:rPr>
        <w:t>התשפ"ד</w:t>
      </w:r>
      <w:proofErr w:type="spellEnd"/>
      <w:r w:rsidR="00CF70EB">
        <w:rPr>
          <w:rFonts w:hint="cs"/>
          <w:sz w:val="26"/>
          <w:szCs w:val="26"/>
          <w:rtl/>
        </w:rPr>
        <w:t xml:space="preserve"> (12 במרץ 2024) הקרן צפויה לפעול עד יום כ"ו באדר </w:t>
      </w:r>
      <w:proofErr w:type="spellStart"/>
      <w:r w:rsidR="00CF70EB">
        <w:rPr>
          <w:rFonts w:hint="cs"/>
          <w:sz w:val="26"/>
          <w:szCs w:val="26"/>
          <w:rtl/>
        </w:rPr>
        <w:t>התשפ"ו</w:t>
      </w:r>
      <w:proofErr w:type="spellEnd"/>
      <w:r w:rsidR="00CF70EB">
        <w:rPr>
          <w:rFonts w:hint="cs"/>
          <w:sz w:val="26"/>
          <w:szCs w:val="26"/>
          <w:rtl/>
        </w:rPr>
        <w:t xml:space="preserve"> (15 במרץ 2026). </w:t>
      </w:r>
      <w:r w:rsidRPr="0075332F">
        <w:rPr>
          <w:sz w:val="26"/>
          <w:szCs w:val="26"/>
          <w:rtl/>
        </w:rPr>
        <w:t xml:space="preserve">בתקופת פעילותה של הקרן, תרמה הקרן לעידוד תובענות ייצוגיות ראויות, בעלות חשיבות ציבורית וחברתית, בתחומים מגוונים (צרכנות, איכות הסביבה, שוויון זכויות לאנשים עם </w:t>
      </w:r>
      <w:r w:rsidRPr="0075332F">
        <w:rPr>
          <w:sz w:val="26"/>
          <w:szCs w:val="26"/>
          <w:rtl/>
        </w:rPr>
        <w:lastRenderedPageBreak/>
        <w:t xml:space="preserve">מוגבלויות, דיני עבודה, דיני תחרות ועוד). על כן מוצע לבטל את סעיף קטן (ו) של סעיף 27 לחוק תובענות ייצוגיות כך שהקרן למימון תובענות ייצוגיות תמשיך לפעול </w:t>
      </w:r>
      <w:r w:rsidR="00FC311D">
        <w:rPr>
          <w:rFonts w:hint="cs"/>
          <w:sz w:val="26"/>
          <w:szCs w:val="26"/>
          <w:rtl/>
        </w:rPr>
        <w:t xml:space="preserve">באופן קבוע </w:t>
      </w:r>
      <w:r w:rsidRPr="0075332F">
        <w:rPr>
          <w:sz w:val="26"/>
          <w:szCs w:val="26"/>
          <w:rtl/>
        </w:rPr>
        <w:t>בלא הגבלת זמן</w:t>
      </w:r>
      <w:r w:rsidR="00FC311D">
        <w:rPr>
          <w:rFonts w:hint="cs"/>
          <w:sz w:val="26"/>
          <w:szCs w:val="26"/>
          <w:rtl/>
        </w:rPr>
        <w:t xml:space="preserve"> לתקופת פעילותה</w:t>
      </w:r>
      <w:r w:rsidRPr="0075332F">
        <w:rPr>
          <w:sz w:val="26"/>
          <w:szCs w:val="26"/>
          <w:rtl/>
        </w:rPr>
        <w:t>.</w:t>
      </w:r>
    </w:p>
    <w:p w14:paraId="252DA7DD" w14:textId="404AACA3" w:rsidR="00530243" w:rsidRPr="004F4BCD" w:rsidRDefault="00530243" w:rsidP="001359A4">
      <w:pPr>
        <w:tabs>
          <w:tab w:val="left" w:pos="1020"/>
        </w:tabs>
        <w:autoSpaceDE w:val="0"/>
        <w:autoSpaceDN w:val="0"/>
        <w:adjustRightInd w:val="0"/>
        <w:snapToGrid w:val="0"/>
        <w:ind w:left="0"/>
        <w:contextualSpacing w:val="0"/>
        <w:textAlignment w:val="center"/>
        <w:rPr>
          <w:sz w:val="26"/>
          <w:szCs w:val="26"/>
          <w:rtl/>
        </w:rPr>
      </w:pPr>
      <w:r w:rsidRPr="004F4BCD">
        <w:rPr>
          <w:sz w:val="26"/>
          <w:szCs w:val="26"/>
          <w:rtl/>
        </w:rPr>
        <w:t>וזה נוסחו של סעיף 27(ו) לחוק שמוצע לבטלו:</w:t>
      </w:r>
    </w:p>
    <w:p w14:paraId="638D85D3" w14:textId="77777777" w:rsidR="00530243" w:rsidRPr="004F4BCD" w:rsidRDefault="00530243" w:rsidP="001359A4">
      <w:pPr>
        <w:tabs>
          <w:tab w:val="left" w:pos="1020"/>
        </w:tabs>
        <w:autoSpaceDE w:val="0"/>
        <w:autoSpaceDN w:val="0"/>
        <w:adjustRightInd w:val="0"/>
        <w:snapToGrid w:val="0"/>
        <w:ind w:left="0"/>
        <w:contextualSpacing w:val="0"/>
        <w:textAlignment w:val="center"/>
        <w:rPr>
          <w:sz w:val="26"/>
          <w:szCs w:val="26"/>
          <w:rtl/>
        </w:rPr>
      </w:pPr>
      <w:r w:rsidRPr="004F4BCD">
        <w:rPr>
          <w:sz w:val="26"/>
          <w:szCs w:val="26"/>
          <w:rtl/>
        </w:rPr>
        <w:t>"(ו)</w:t>
      </w:r>
      <w:r w:rsidRPr="004F4BCD">
        <w:rPr>
          <w:sz w:val="26"/>
          <w:szCs w:val="26"/>
          <w:rtl/>
        </w:rPr>
        <w:tab/>
        <w:t>(1)</w:t>
      </w:r>
      <w:r w:rsidRPr="004F4BCD">
        <w:rPr>
          <w:sz w:val="26"/>
          <w:szCs w:val="26"/>
          <w:rtl/>
        </w:rPr>
        <w:tab/>
        <w:t xml:space="preserve">הקרן תפעל במשך תקופה של שבע שנים מיום פרסומו של חוק זה; ואולם רשאי השר, בצו, להאריך את התקופה האמורה בתקופה נוספת (בסעיף זה – תקופת הארכה); הוארכה התקופה כאמור, יחולו בתקופת ההארכה הוראות סעיף זה, ואולם תחולת הוראות סעיף קטן (ד) באותה תקופה טעונה הסכמת שר האוצר, ואם לא נתן שר האוצר את הסכמתו כאמור, יועבר </w:t>
      </w:r>
      <w:proofErr w:type="spellStart"/>
      <w:r w:rsidRPr="004F4BCD">
        <w:rPr>
          <w:sz w:val="26"/>
          <w:szCs w:val="26"/>
          <w:rtl/>
        </w:rPr>
        <w:t>הענין</w:t>
      </w:r>
      <w:proofErr w:type="spellEnd"/>
      <w:r w:rsidRPr="004F4BCD">
        <w:rPr>
          <w:sz w:val="26"/>
          <w:szCs w:val="26"/>
          <w:rtl/>
        </w:rPr>
        <w:t xml:space="preserve"> להכרעת הממשלה.</w:t>
      </w:r>
    </w:p>
    <w:p w14:paraId="4753E6DD" w14:textId="77777777" w:rsidR="00530243" w:rsidRPr="004F4BCD" w:rsidRDefault="00530243" w:rsidP="001359A4">
      <w:pPr>
        <w:tabs>
          <w:tab w:val="left" w:pos="1020"/>
        </w:tabs>
        <w:autoSpaceDE w:val="0"/>
        <w:autoSpaceDN w:val="0"/>
        <w:adjustRightInd w:val="0"/>
        <w:snapToGrid w:val="0"/>
        <w:ind w:left="0"/>
        <w:contextualSpacing w:val="0"/>
        <w:textAlignment w:val="center"/>
        <w:rPr>
          <w:sz w:val="26"/>
          <w:szCs w:val="26"/>
          <w:rtl/>
        </w:rPr>
      </w:pPr>
      <w:r w:rsidRPr="004F4BCD">
        <w:rPr>
          <w:sz w:val="26"/>
          <w:szCs w:val="26"/>
          <w:rtl/>
        </w:rPr>
        <w:tab/>
        <w:t>(2)</w:t>
      </w:r>
      <w:r w:rsidRPr="004F4BCD">
        <w:rPr>
          <w:sz w:val="26"/>
          <w:szCs w:val="26"/>
          <w:rtl/>
        </w:rPr>
        <w:tab/>
        <w:t>הסתיימה תקופת פעולתה של הקרן, בהתאם להוראות פסקה (1), ונותרה יתרת כספים בקופת הקרן אשר לא נוצלה עד תום התקופה כאמור, תמשיך הקרן, על אף הוראות הפסקה האמורה, לפעול לגבי אותם כספים בהתאם לתפקידה כמפורט בסעיף קטן (א), עד לניצול יתרת הכספים כאמור, וזאת בכפוף לכל דין."</w:t>
      </w:r>
    </w:p>
    <w:p w14:paraId="03F383A2" w14:textId="77777777" w:rsidR="00530243" w:rsidRPr="0075332F" w:rsidRDefault="00530243" w:rsidP="00CF70EB">
      <w:pPr>
        <w:tabs>
          <w:tab w:val="left" w:pos="1020"/>
        </w:tabs>
        <w:autoSpaceDE w:val="0"/>
        <w:autoSpaceDN w:val="0"/>
        <w:adjustRightInd w:val="0"/>
        <w:snapToGrid w:val="0"/>
        <w:ind w:left="0"/>
        <w:contextualSpacing w:val="0"/>
        <w:textAlignment w:val="center"/>
        <w:rPr>
          <w:sz w:val="26"/>
          <w:szCs w:val="26"/>
          <w:rtl/>
        </w:rPr>
      </w:pPr>
    </w:p>
    <w:p w14:paraId="5848756F" w14:textId="77777777" w:rsidR="0075332F" w:rsidRPr="00C70BD1" w:rsidRDefault="0075332F" w:rsidP="0075332F">
      <w:pPr>
        <w:rPr>
          <w:b/>
          <w:bCs/>
          <w:sz w:val="26"/>
          <w:szCs w:val="26"/>
          <w:rtl/>
        </w:rPr>
      </w:pPr>
    </w:p>
    <w:p w14:paraId="2B4E5538" w14:textId="77777777" w:rsidR="0075332F" w:rsidRPr="00C70BD1" w:rsidRDefault="0075332F" w:rsidP="00C70BD1">
      <w:pPr>
        <w:spacing w:after="120"/>
        <w:rPr>
          <w:b/>
          <w:bCs/>
          <w:sz w:val="26"/>
          <w:szCs w:val="26"/>
          <w:rtl/>
        </w:rPr>
      </w:pPr>
    </w:p>
    <w:p w14:paraId="212981BF" w14:textId="77777777" w:rsidR="003B5AFC" w:rsidRPr="004F089A" w:rsidRDefault="003B5AFC" w:rsidP="005A71A6">
      <w:pPr>
        <w:spacing w:after="120"/>
        <w:rPr>
          <w:rtl/>
        </w:rPr>
      </w:pPr>
    </w:p>
    <w:sectPr w:rsidR="003B5AFC" w:rsidRPr="004F089A" w:rsidSect="00914A2F">
      <w:pgSz w:w="11906" w:h="16838"/>
      <w:pgMar w:top="1701" w:right="1134" w:bottom="1417" w:left="1134"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0F66" w14:textId="77777777" w:rsidR="00381F42" w:rsidRDefault="00381F42" w:rsidP="00C535F0">
      <w:pPr>
        <w:spacing w:line="240" w:lineRule="auto"/>
      </w:pPr>
      <w:r>
        <w:separator/>
      </w:r>
    </w:p>
  </w:endnote>
  <w:endnote w:type="continuationSeparator" w:id="0">
    <w:p w14:paraId="0D2081F1" w14:textId="77777777" w:rsidR="00381F42" w:rsidRDefault="00381F42" w:rsidP="00C53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arkisim">
    <w:panose1 w:val="020E050205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FDBD" w14:textId="77777777" w:rsidR="00381F42" w:rsidRDefault="00381F42" w:rsidP="00C535F0">
      <w:pPr>
        <w:spacing w:line="240" w:lineRule="auto"/>
      </w:pPr>
      <w:r>
        <w:separator/>
      </w:r>
    </w:p>
  </w:footnote>
  <w:footnote w:type="continuationSeparator" w:id="0">
    <w:p w14:paraId="03A88750" w14:textId="77777777" w:rsidR="00381F42" w:rsidRDefault="00381F42" w:rsidP="00C535F0">
      <w:pPr>
        <w:spacing w:line="240" w:lineRule="auto"/>
      </w:pPr>
      <w:r>
        <w:continuationSeparator/>
      </w:r>
    </w:p>
  </w:footnote>
  <w:footnote w:id="1">
    <w:p w14:paraId="6849F2C8" w14:textId="09A55408" w:rsidR="00C535F0" w:rsidRPr="003610C5" w:rsidRDefault="00C535F0" w:rsidP="001359A4">
      <w:pPr>
        <w:pStyle w:val="a5"/>
      </w:pPr>
      <w:r>
        <w:rPr>
          <w:rStyle w:val="a7"/>
        </w:rPr>
        <w:footnoteRef/>
      </w:r>
      <w:r>
        <w:rPr>
          <w:rtl/>
        </w:rPr>
        <w:t xml:space="preserve"> </w:t>
      </w:r>
      <w:r w:rsidR="003610C5">
        <w:rPr>
          <w:rFonts w:hint="cs"/>
          <w:rtl/>
        </w:rPr>
        <w:t>ס"ח התשס"ו, עמ' 264; ס"ח תשפ"ד, עמ' 746.</w:t>
      </w:r>
    </w:p>
  </w:footnote>
  <w:footnote w:id="2">
    <w:p w14:paraId="3B7BBF59" w14:textId="47C1ABAA" w:rsidR="00311035" w:rsidRDefault="00311035" w:rsidP="001359A4">
      <w:pPr>
        <w:pStyle w:val="a5"/>
        <w:rPr>
          <w:rtl/>
        </w:rPr>
      </w:pPr>
      <w:r>
        <w:rPr>
          <w:rStyle w:val="a7"/>
        </w:rPr>
        <w:footnoteRef/>
      </w:r>
      <w:r>
        <w:rPr>
          <w:rtl/>
        </w:rPr>
        <w:t xml:space="preserve"> </w:t>
      </w:r>
      <w:r w:rsidR="003610C5">
        <w:rPr>
          <w:rFonts w:hint="cs"/>
          <w:rtl/>
        </w:rPr>
        <w:t>ס"ח התשמ"ד, עמ' 198.</w:t>
      </w:r>
    </w:p>
  </w:footnote>
  <w:footnote w:id="3">
    <w:p w14:paraId="06325183" w14:textId="60989181" w:rsidR="0078657C" w:rsidRDefault="0078657C" w:rsidP="001359A4">
      <w:pPr>
        <w:pStyle w:val="a5"/>
        <w:rPr>
          <w:rtl/>
        </w:rPr>
      </w:pPr>
      <w:r>
        <w:rPr>
          <w:rStyle w:val="a7"/>
        </w:rPr>
        <w:footnoteRef/>
      </w:r>
      <w:r>
        <w:rPr>
          <w:rtl/>
        </w:rPr>
        <w:t xml:space="preserve"> </w:t>
      </w:r>
      <w:r w:rsidR="003610C5">
        <w:rPr>
          <w:rFonts w:hint="cs"/>
          <w:rtl/>
        </w:rPr>
        <w:t>ס"ח התשמ"א, עמ' 128.</w:t>
      </w:r>
    </w:p>
  </w:footnote>
  <w:footnote w:id="4">
    <w:p w14:paraId="085C4CD6" w14:textId="47FE1639" w:rsidR="00311035" w:rsidRDefault="00311035" w:rsidP="001359A4">
      <w:pPr>
        <w:pStyle w:val="a5"/>
      </w:pPr>
      <w:r>
        <w:rPr>
          <w:rStyle w:val="a7"/>
        </w:rPr>
        <w:footnoteRef/>
      </w:r>
      <w:r>
        <w:rPr>
          <w:rtl/>
        </w:rPr>
        <w:t xml:space="preserve"> </w:t>
      </w:r>
      <w:r w:rsidR="007C3D2B">
        <w:rPr>
          <w:rFonts w:hint="cs"/>
          <w:rtl/>
        </w:rPr>
        <w:t>ס"ח התשל"ח, עמ' 206.</w:t>
      </w:r>
    </w:p>
  </w:footnote>
  <w:footnote w:id="5">
    <w:p w14:paraId="16791AE0" w14:textId="4F5B11A5" w:rsidR="008849AE" w:rsidRDefault="008849AE" w:rsidP="001359A4">
      <w:pPr>
        <w:pStyle w:val="a5"/>
        <w:rPr>
          <w:rtl/>
        </w:rPr>
      </w:pPr>
      <w:r>
        <w:rPr>
          <w:rStyle w:val="a7"/>
        </w:rPr>
        <w:footnoteRef/>
      </w:r>
      <w:r>
        <w:rPr>
          <w:rtl/>
        </w:rPr>
        <w:t xml:space="preserve"> </w:t>
      </w:r>
      <w:r w:rsidR="007C3D2B">
        <w:rPr>
          <w:rFonts w:hint="cs"/>
          <w:rtl/>
        </w:rPr>
        <w:t xml:space="preserve">ס"ח </w:t>
      </w:r>
      <w:proofErr w:type="spellStart"/>
      <w:r w:rsidR="007C3D2B">
        <w:rPr>
          <w:rFonts w:hint="cs"/>
          <w:rtl/>
        </w:rPr>
        <w:t>התשנ"ד</w:t>
      </w:r>
      <w:proofErr w:type="spellEnd"/>
      <w:r w:rsidR="007C3D2B">
        <w:rPr>
          <w:rFonts w:hint="cs"/>
          <w:rtl/>
        </w:rPr>
        <w:t>, עמ' 156.</w:t>
      </w:r>
    </w:p>
  </w:footnote>
  <w:footnote w:id="6">
    <w:p w14:paraId="4E3F97F7" w14:textId="67A4B761" w:rsidR="008849AE" w:rsidRDefault="008849AE" w:rsidP="001359A4">
      <w:pPr>
        <w:pStyle w:val="a5"/>
        <w:rPr>
          <w:rtl/>
        </w:rPr>
      </w:pPr>
      <w:r>
        <w:rPr>
          <w:rStyle w:val="a7"/>
        </w:rPr>
        <w:footnoteRef/>
      </w:r>
      <w:r>
        <w:rPr>
          <w:rtl/>
        </w:rPr>
        <w:t xml:space="preserve"> </w:t>
      </w:r>
      <w:r w:rsidR="007C3D2B">
        <w:rPr>
          <w:rFonts w:hint="cs"/>
          <w:rtl/>
        </w:rPr>
        <w:t>ס"ח התש"ך, עמ' 57.</w:t>
      </w:r>
    </w:p>
  </w:footnote>
  <w:footnote w:id="7">
    <w:p w14:paraId="70A33EC2" w14:textId="561BA308" w:rsidR="00D63BFA" w:rsidRDefault="00D63BFA" w:rsidP="001359A4">
      <w:pPr>
        <w:pStyle w:val="a5"/>
        <w:rPr>
          <w:rtl/>
        </w:rPr>
      </w:pPr>
      <w:r>
        <w:rPr>
          <w:rStyle w:val="a7"/>
        </w:rPr>
        <w:footnoteRef/>
      </w:r>
      <w:r>
        <w:rPr>
          <w:rtl/>
        </w:rPr>
        <w:t xml:space="preserve"> </w:t>
      </w:r>
      <w:r w:rsidR="007C3D2B">
        <w:rPr>
          <w:rFonts w:hint="cs"/>
          <w:rtl/>
        </w:rPr>
        <w:t>ס"ח התשס"א, עמ' 454.</w:t>
      </w:r>
    </w:p>
  </w:footnote>
  <w:footnote w:id="8">
    <w:p w14:paraId="32375CD8" w14:textId="2F850359" w:rsidR="00947D3F" w:rsidRDefault="00947D3F" w:rsidP="001359A4">
      <w:pPr>
        <w:pStyle w:val="a5"/>
        <w:rPr>
          <w:rtl/>
        </w:rPr>
      </w:pPr>
      <w:r>
        <w:rPr>
          <w:rStyle w:val="a7"/>
        </w:rPr>
        <w:footnoteRef/>
      </w:r>
      <w:r>
        <w:rPr>
          <w:rtl/>
        </w:rPr>
        <w:t xml:space="preserve"> </w:t>
      </w:r>
      <w:r w:rsidR="004768E6">
        <w:rPr>
          <w:rFonts w:hint="cs"/>
          <w:rtl/>
        </w:rPr>
        <w:t>ק"ת התשע"ג, עמ' 968.</w:t>
      </w:r>
    </w:p>
  </w:footnote>
  <w:footnote w:id="9">
    <w:p w14:paraId="403EEF60" w14:textId="0DCDB364" w:rsidR="00065743" w:rsidRDefault="00065743" w:rsidP="001359A4">
      <w:pPr>
        <w:pStyle w:val="a5"/>
        <w:rPr>
          <w:rtl/>
        </w:rPr>
      </w:pPr>
      <w:r>
        <w:rPr>
          <w:rStyle w:val="a7"/>
        </w:rPr>
        <w:footnoteRef/>
      </w:r>
      <w:r>
        <w:rPr>
          <w:rtl/>
        </w:rPr>
        <w:t xml:space="preserve"> </w:t>
      </w:r>
      <w:r w:rsidR="004768E6">
        <w:rPr>
          <w:rFonts w:hint="cs"/>
          <w:rtl/>
        </w:rPr>
        <w:t>ק"ת התשע"ז, עמ' 1022.</w:t>
      </w:r>
    </w:p>
  </w:footnote>
  <w:footnote w:id="10">
    <w:p w14:paraId="4BC8203A" w14:textId="72BE53B1" w:rsidR="001359A4" w:rsidRDefault="001359A4">
      <w:pPr>
        <w:pStyle w:val="a5"/>
      </w:pPr>
      <w:r>
        <w:rPr>
          <w:rStyle w:val="a7"/>
        </w:rPr>
        <w:footnoteRef/>
      </w:r>
      <w:r>
        <w:rPr>
          <w:rtl/>
        </w:rPr>
        <w:t xml:space="preserve"> </w:t>
      </w:r>
      <w:r>
        <w:rPr>
          <w:rFonts w:hint="cs"/>
          <w:rtl/>
        </w:rPr>
        <w:t>דיני מדינת ישראל, נוסח חדש 6, עמ' 120.</w:t>
      </w:r>
    </w:p>
  </w:footnote>
  <w:footnote w:id="11">
    <w:p w14:paraId="49239C79" w14:textId="3741000B" w:rsidR="001359A4" w:rsidRDefault="001359A4">
      <w:pPr>
        <w:pStyle w:val="a5"/>
        <w:rPr>
          <w:rtl/>
        </w:rPr>
      </w:pPr>
      <w:r>
        <w:rPr>
          <w:rStyle w:val="a7"/>
        </w:rPr>
        <w:footnoteRef/>
      </w:r>
      <w:r>
        <w:rPr>
          <w:rtl/>
        </w:rPr>
        <w:t xml:space="preserve"> </w:t>
      </w:r>
      <w:r>
        <w:rPr>
          <w:rFonts w:hint="cs"/>
          <w:rtl/>
        </w:rPr>
        <w:t>ס"ח התשל"ו, עמ' 52.</w:t>
      </w:r>
    </w:p>
  </w:footnote>
  <w:footnote w:id="12">
    <w:p w14:paraId="5854F531" w14:textId="743F1214" w:rsidR="001359A4" w:rsidRDefault="001359A4">
      <w:pPr>
        <w:pStyle w:val="a5"/>
      </w:pPr>
      <w:r>
        <w:rPr>
          <w:rStyle w:val="a7"/>
        </w:rPr>
        <w:footnoteRef/>
      </w:r>
      <w:r>
        <w:rPr>
          <w:rtl/>
        </w:rPr>
        <w:t xml:space="preserve"> </w:t>
      </w:r>
      <w:r>
        <w:rPr>
          <w:rFonts w:hint="cs"/>
          <w:rtl/>
        </w:rPr>
        <w:t>ס"ח התשכ"ח, עמ' 156</w:t>
      </w:r>
    </w:p>
  </w:footnote>
  <w:footnote w:id="13">
    <w:p w14:paraId="4E78D7FA" w14:textId="48B0D27A" w:rsidR="00520E16" w:rsidRDefault="00520E16" w:rsidP="001359A4">
      <w:pPr>
        <w:pStyle w:val="a5"/>
        <w:rPr>
          <w:rtl/>
        </w:rPr>
      </w:pPr>
      <w:r>
        <w:rPr>
          <w:rStyle w:val="a7"/>
        </w:rPr>
        <w:footnoteRef/>
      </w:r>
      <w:r>
        <w:rPr>
          <w:rtl/>
        </w:rPr>
        <w:t xml:space="preserve"> </w:t>
      </w:r>
      <w:r w:rsidR="001359A4">
        <w:rPr>
          <w:rFonts w:hint="cs"/>
          <w:rtl/>
        </w:rPr>
        <w:t>ס"ח התש"ך, עמ' 57.</w:t>
      </w:r>
    </w:p>
  </w:footnote>
  <w:footnote w:id="14">
    <w:p w14:paraId="60DDC9C9" w14:textId="2D63C66A" w:rsidR="00520E16" w:rsidRDefault="00520E16" w:rsidP="001359A4">
      <w:pPr>
        <w:pStyle w:val="a5"/>
        <w:rPr>
          <w:rtl/>
        </w:rPr>
      </w:pPr>
      <w:r>
        <w:rPr>
          <w:rStyle w:val="a7"/>
        </w:rPr>
        <w:footnoteRef/>
      </w:r>
      <w:r>
        <w:rPr>
          <w:rtl/>
        </w:rPr>
        <w:t xml:space="preserve"> </w:t>
      </w:r>
      <w:r w:rsidR="001359A4">
        <w:rPr>
          <w:rFonts w:hint="cs"/>
          <w:rtl/>
        </w:rPr>
        <w:t>ס"ח התשס"א, עמ' 454.</w:t>
      </w:r>
    </w:p>
  </w:footnote>
  <w:footnote w:id="15">
    <w:p w14:paraId="44CDF755" w14:textId="6C9A1705" w:rsidR="009F5BDC" w:rsidRDefault="009F5BDC" w:rsidP="001359A4">
      <w:pPr>
        <w:pStyle w:val="a5"/>
        <w:rPr>
          <w:rtl/>
        </w:rPr>
      </w:pPr>
      <w:r w:rsidRPr="00307D61">
        <w:rPr>
          <w:rStyle w:val="a7"/>
        </w:rPr>
        <w:footnoteRef/>
      </w:r>
      <w:r w:rsidRPr="00307D61">
        <w:rPr>
          <w:rtl/>
        </w:rPr>
        <w:t xml:space="preserve"> </w:t>
      </w:r>
      <w:r w:rsidR="00307D61" w:rsidRPr="00307D61">
        <w:rPr>
          <w:rFonts w:hint="cs"/>
          <w:rtl/>
        </w:rPr>
        <w:t>ס"ח התשנ"ד, עמ' 156.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8D8"/>
    <w:multiLevelType w:val="hybridMultilevel"/>
    <w:tmpl w:val="93DCF778"/>
    <w:lvl w:ilvl="0" w:tplc="BFC4379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4793"/>
    <w:multiLevelType w:val="hybridMultilevel"/>
    <w:tmpl w:val="2D1E221A"/>
    <w:lvl w:ilvl="0" w:tplc="553692D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E28F3"/>
    <w:multiLevelType w:val="hybridMultilevel"/>
    <w:tmpl w:val="3C1EC700"/>
    <w:lvl w:ilvl="0" w:tplc="7912037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33282"/>
    <w:multiLevelType w:val="hybridMultilevel"/>
    <w:tmpl w:val="DAFC7A98"/>
    <w:lvl w:ilvl="0" w:tplc="85D6C5B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E36FF"/>
    <w:multiLevelType w:val="hybridMultilevel"/>
    <w:tmpl w:val="3F506AE6"/>
    <w:lvl w:ilvl="0" w:tplc="4368585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7049F"/>
    <w:multiLevelType w:val="hybridMultilevel"/>
    <w:tmpl w:val="0EBCAD8A"/>
    <w:lvl w:ilvl="0" w:tplc="59C0716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5B3D"/>
    <w:multiLevelType w:val="hybridMultilevel"/>
    <w:tmpl w:val="A1805554"/>
    <w:lvl w:ilvl="0" w:tplc="F9F4AD0C">
      <w:start w:val="1"/>
      <w:numFmt w:val="hebrew1"/>
      <w:lvlRestart w:val="0"/>
      <w:lvlText w:val="(%1)"/>
      <w:lvlJc w:val="left"/>
      <w:pPr>
        <w:tabs>
          <w:tab w:val="num" w:pos="624"/>
        </w:tabs>
        <w:ind w:left="0" w:firstLine="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40AFB"/>
    <w:multiLevelType w:val="hybridMultilevel"/>
    <w:tmpl w:val="E37CA856"/>
    <w:lvl w:ilvl="0" w:tplc="7DDCD91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E6BA9"/>
    <w:multiLevelType w:val="hybridMultilevel"/>
    <w:tmpl w:val="13CCD240"/>
    <w:lvl w:ilvl="0" w:tplc="CA8627E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35D28"/>
    <w:multiLevelType w:val="hybridMultilevel"/>
    <w:tmpl w:val="1226C23C"/>
    <w:lvl w:ilvl="0" w:tplc="81147A66">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03AE6"/>
    <w:multiLevelType w:val="hybridMultilevel"/>
    <w:tmpl w:val="6AB2A910"/>
    <w:lvl w:ilvl="0" w:tplc="595A5262">
      <w:start w:val="1"/>
      <w:numFmt w:val="decimal"/>
      <w:lvlText w:val="%1."/>
      <w:lvlJc w:val="left"/>
      <w:pPr>
        <w:ind w:left="720" w:hanging="360"/>
      </w:pPr>
      <w:rPr>
        <w:rFonts w:hint="default"/>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C3B9A"/>
    <w:multiLevelType w:val="hybridMultilevel"/>
    <w:tmpl w:val="72EC53DA"/>
    <w:lvl w:ilvl="0" w:tplc="A9BE7AC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3459E"/>
    <w:multiLevelType w:val="hybridMultilevel"/>
    <w:tmpl w:val="F9CCD00E"/>
    <w:lvl w:ilvl="0" w:tplc="5E6EF85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31B88"/>
    <w:multiLevelType w:val="hybridMultilevel"/>
    <w:tmpl w:val="B68CAF04"/>
    <w:lvl w:ilvl="0" w:tplc="D75466F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0125F"/>
    <w:multiLevelType w:val="hybridMultilevel"/>
    <w:tmpl w:val="BDBAFE80"/>
    <w:lvl w:ilvl="0" w:tplc="AEF432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222D2"/>
    <w:multiLevelType w:val="hybridMultilevel"/>
    <w:tmpl w:val="FDE86BDC"/>
    <w:lvl w:ilvl="0" w:tplc="4B183DF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B7B07"/>
    <w:multiLevelType w:val="hybridMultilevel"/>
    <w:tmpl w:val="1BA60CBC"/>
    <w:lvl w:ilvl="0" w:tplc="8A7C485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81529"/>
    <w:multiLevelType w:val="hybridMultilevel"/>
    <w:tmpl w:val="DA8A8D38"/>
    <w:lvl w:ilvl="0" w:tplc="BAC25DC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C2337"/>
    <w:multiLevelType w:val="hybridMultilevel"/>
    <w:tmpl w:val="74BA6534"/>
    <w:lvl w:ilvl="0" w:tplc="5D2AB1E4">
      <w:start w:val="1"/>
      <w:numFmt w:val="hebrew1"/>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71E19"/>
    <w:multiLevelType w:val="hybridMultilevel"/>
    <w:tmpl w:val="E30CC48A"/>
    <w:lvl w:ilvl="0" w:tplc="8BD02856">
      <w:start w:val="2"/>
      <w:numFmt w:val="bullet"/>
      <w:lvlText w:val="-"/>
      <w:lvlJc w:val="left"/>
      <w:pPr>
        <w:ind w:left="408" w:hanging="360"/>
      </w:pPr>
      <w:rPr>
        <w:rFonts w:ascii="David" w:eastAsia="Arial Unicode MS" w:hAnsi="David" w:cs="David" w:hint="default"/>
        <w:sz w:val="20"/>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0" w15:restartNumberingAfterBreak="0">
    <w:nsid w:val="4D881F19"/>
    <w:multiLevelType w:val="hybridMultilevel"/>
    <w:tmpl w:val="873EBD30"/>
    <w:lvl w:ilvl="0" w:tplc="7D2C64C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9435A"/>
    <w:multiLevelType w:val="hybridMultilevel"/>
    <w:tmpl w:val="300EED48"/>
    <w:lvl w:ilvl="0" w:tplc="69DECB0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760D37"/>
    <w:multiLevelType w:val="hybridMultilevel"/>
    <w:tmpl w:val="54B04C00"/>
    <w:lvl w:ilvl="0" w:tplc="8258EBF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308C1"/>
    <w:multiLevelType w:val="hybridMultilevel"/>
    <w:tmpl w:val="F0F201BA"/>
    <w:lvl w:ilvl="0" w:tplc="6A524EE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C68C3"/>
    <w:multiLevelType w:val="hybridMultilevel"/>
    <w:tmpl w:val="BDBAFE80"/>
    <w:lvl w:ilvl="0" w:tplc="AEF432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60875533"/>
    <w:multiLevelType w:val="hybridMultilevel"/>
    <w:tmpl w:val="74CE66FC"/>
    <w:lvl w:ilvl="0" w:tplc="8668CA2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158E8"/>
    <w:multiLevelType w:val="hybridMultilevel"/>
    <w:tmpl w:val="F846273E"/>
    <w:lvl w:ilvl="0" w:tplc="F03A7FF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DE4E22"/>
    <w:multiLevelType w:val="hybridMultilevel"/>
    <w:tmpl w:val="81E0F29A"/>
    <w:lvl w:ilvl="0" w:tplc="824AB60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E4215"/>
    <w:multiLevelType w:val="hybridMultilevel"/>
    <w:tmpl w:val="E53E126A"/>
    <w:lvl w:ilvl="0" w:tplc="4E1271F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201D4"/>
    <w:multiLevelType w:val="hybridMultilevel"/>
    <w:tmpl w:val="A2A4EF4C"/>
    <w:lvl w:ilvl="0" w:tplc="D5E6613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95425"/>
    <w:multiLevelType w:val="hybridMultilevel"/>
    <w:tmpl w:val="C8BA0192"/>
    <w:lvl w:ilvl="0" w:tplc="F162ECB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E6987"/>
    <w:multiLevelType w:val="hybridMultilevel"/>
    <w:tmpl w:val="7D640904"/>
    <w:lvl w:ilvl="0" w:tplc="3276498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E4390"/>
    <w:multiLevelType w:val="hybridMultilevel"/>
    <w:tmpl w:val="662E752C"/>
    <w:lvl w:ilvl="0" w:tplc="DD185A7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17B17"/>
    <w:multiLevelType w:val="hybridMultilevel"/>
    <w:tmpl w:val="0602C384"/>
    <w:lvl w:ilvl="0" w:tplc="3DCC4A0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159D3"/>
    <w:multiLevelType w:val="hybridMultilevel"/>
    <w:tmpl w:val="AF363D22"/>
    <w:lvl w:ilvl="0" w:tplc="71207714">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466E5"/>
    <w:multiLevelType w:val="hybridMultilevel"/>
    <w:tmpl w:val="7C568AC8"/>
    <w:lvl w:ilvl="0" w:tplc="3C422B5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C544D"/>
    <w:multiLevelType w:val="hybridMultilevel"/>
    <w:tmpl w:val="E85244D4"/>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B93EF724">
      <w:start w:val="1"/>
      <w:numFmt w:val="hebrew1"/>
      <w:lvlRestart w:val="0"/>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013902"/>
    <w:multiLevelType w:val="hybridMultilevel"/>
    <w:tmpl w:val="8E361218"/>
    <w:lvl w:ilvl="0" w:tplc="7F02135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01713"/>
    <w:multiLevelType w:val="hybridMultilevel"/>
    <w:tmpl w:val="F1FE55BC"/>
    <w:lvl w:ilvl="0" w:tplc="CB5076E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C29B5"/>
    <w:multiLevelType w:val="hybridMultilevel"/>
    <w:tmpl w:val="7F3A3C84"/>
    <w:lvl w:ilvl="0" w:tplc="84CC2F8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3"/>
  </w:num>
  <w:num w:numId="6">
    <w:abstractNumId w:val="13"/>
  </w:num>
  <w:num w:numId="7">
    <w:abstractNumId w:val="19"/>
  </w:num>
  <w:num w:numId="8">
    <w:abstractNumId w:val="21"/>
  </w:num>
  <w:num w:numId="9">
    <w:abstractNumId w:val="11"/>
  </w:num>
  <w:num w:numId="10">
    <w:abstractNumId w:val="40"/>
  </w:num>
  <w:num w:numId="11">
    <w:abstractNumId w:val="2"/>
  </w:num>
  <w:num w:numId="12">
    <w:abstractNumId w:val="31"/>
  </w:num>
  <w:num w:numId="13">
    <w:abstractNumId w:val="4"/>
  </w:num>
  <w:num w:numId="14">
    <w:abstractNumId w:val="41"/>
  </w:num>
  <w:num w:numId="15">
    <w:abstractNumId w:val="37"/>
  </w:num>
  <w:num w:numId="16">
    <w:abstractNumId w:val="32"/>
  </w:num>
  <w:num w:numId="17">
    <w:abstractNumId w:val="17"/>
  </w:num>
  <w:num w:numId="18">
    <w:abstractNumId w:val="35"/>
  </w:num>
  <w:num w:numId="19">
    <w:abstractNumId w:val="24"/>
  </w:num>
  <w:num w:numId="20">
    <w:abstractNumId w:val="5"/>
  </w:num>
  <w:num w:numId="21">
    <w:abstractNumId w:val="28"/>
  </w:num>
  <w:num w:numId="22">
    <w:abstractNumId w:val="7"/>
  </w:num>
  <w:num w:numId="23">
    <w:abstractNumId w:val="12"/>
  </w:num>
  <w:num w:numId="24">
    <w:abstractNumId w:val="15"/>
  </w:num>
  <w:num w:numId="25">
    <w:abstractNumId w:val="6"/>
  </w:num>
  <w:num w:numId="26">
    <w:abstractNumId w:val="1"/>
  </w:num>
  <w:num w:numId="27">
    <w:abstractNumId w:val="34"/>
  </w:num>
  <w:num w:numId="28">
    <w:abstractNumId w:val="30"/>
  </w:num>
  <w:num w:numId="29">
    <w:abstractNumId w:val="20"/>
  </w:num>
  <w:num w:numId="30">
    <w:abstractNumId w:val="16"/>
  </w:num>
  <w:num w:numId="31">
    <w:abstractNumId w:val="3"/>
  </w:num>
  <w:num w:numId="32">
    <w:abstractNumId w:val="27"/>
  </w:num>
  <w:num w:numId="33">
    <w:abstractNumId w:val="33"/>
  </w:num>
  <w:num w:numId="34">
    <w:abstractNumId w:val="29"/>
  </w:num>
  <w:num w:numId="35">
    <w:abstractNumId w:val="25"/>
  </w:num>
  <w:num w:numId="36">
    <w:abstractNumId w:val="36"/>
  </w:num>
  <w:num w:numId="37">
    <w:abstractNumId w:val="14"/>
  </w:num>
  <w:num w:numId="38">
    <w:abstractNumId w:val="8"/>
  </w:num>
  <w:num w:numId="39">
    <w:abstractNumId w:val="9"/>
  </w:num>
  <w:num w:numId="40">
    <w:abstractNumId w:val="22"/>
  </w:num>
  <w:num w:numId="41">
    <w:abstractNumId w:val="18"/>
  </w:num>
  <w:num w:numId="42">
    <w:abstractNumId w:val="0"/>
  </w:num>
  <w:num w:numId="43">
    <w:abstractNumId w:val="10"/>
  </w:num>
  <w:num w:numId="44">
    <w:abstractNumId w:val="3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2F"/>
    <w:rsid w:val="00006F7B"/>
    <w:rsid w:val="00011443"/>
    <w:rsid w:val="0001479B"/>
    <w:rsid w:val="00015C81"/>
    <w:rsid w:val="00015F04"/>
    <w:rsid w:val="000204FD"/>
    <w:rsid w:val="00020FB4"/>
    <w:rsid w:val="00022D2A"/>
    <w:rsid w:val="00024D74"/>
    <w:rsid w:val="00031552"/>
    <w:rsid w:val="00033A66"/>
    <w:rsid w:val="0003446E"/>
    <w:rsid w:val="00036DD0"/>
    <w:rsid w:val="00040993"/>
    <w:rsid w:val="000418F2"/>
    <w:rsid w:val="00043836"/>
    <w:rsid w:val="0004469F"/>
    <w:rsid w:val="0006262B"/>
    <w:rsid w:val="00062AC7"/>
    <w:rsid w:val="00063AAD"/>
    <w:rsid w:val="00063D3D"/>
    <w:rsid w:val="00065743"/>
    <w:rsid w:val="0006587E"/>
    <w:rsid w:val="00071DCD"/>
    <w:rsid w:val="00072832"/>
    <w:rsid w:val="00072911"/>
    <w:rsid w:val="00081C3A"/>
    <w:rsid w:val="00085E1D"/>
    <w:rsid w:val="00096463"/>
    <w:rsid w:val="000A0AA3"/>
    <w:rsid w:val="000A5D14"/>
    <w:rsid w:val="000A61AC"/>
    <w:rsid w:val="000A621B"/>
    <w:rsid w:val="000B1E5A"/>
    <w:rsid w:val="000B421C"/>
    <w:rsid w:val="000B630D"/>
    <w:rsid w:val="000B7A40"/>
    <w:rsid w:val="000C4C8C"/>
    <w:rsid w:val="000C5ED7"/>
    <w:rsid w:val="000D11F6"/>
    <w:rsid w:val="000D153A"/>
    <w:rsid w:val="000D6494"/>
    <w:rsid w:val="000D6B9A"/>
    <w:rsid w:val="000D73A5"/>
    <w:rsid w:val="000E5076"/>
    <w:rsid w:val="000E7CD9"/>
    <w:rsid w:val="000F26C4"/>
    <w:rsid w:val="000F2710"/>
    <w:rsid w:val="000F28EC"/>
    <w:rsid w:val="000F3B0C"/>
    <w:rsid w:val="000F5065"/>
    <w:rsid w:val="000F64A3"/>
    <w:rsid w:val="000F6967"/>
    <w:rsid w:val="00114C10"/>
    <w:rsid w:val="00117F9B"/>
    <w:rsid w:val="0012148D"/>
    <w:rsid w:val="0012163E"/>
    <w:rsid w:val="0013322A"/>
    <w:rsid w:val="001359A4"/>
    <w:rsid w:val="001362DA"/>
    <w:rsid w:val="00141F13"/>
    <w:rsid w:val="00142FCF"/>
    <w:rsid w:val="00143BFE"/>
    <w:rsid w:val="0014544C"/>
    <w:rsid w:val="0014623E"/>
    <w:rsid w:val="00146F02"/>
    <w:rsid w:val="0015610A"/>
    <w:rsid w:val="00163BDD"/>
    <w:rsid w:val="00164FF6"/>
    <w:rsid w:val="001678A3"/>
    <w:rsid w:val="001703DF"/>
    <w:rsid w:val="00176CCA"/>
    <w:rsid w:val="00176EC9"/>
    <w:rsid w:val="00180352"/>
    <w:rsid w:val="00181075"/>
    <w:rsid w:val="0019417F"/>
    <w:rsid w:val="001950A9"/>
    <w:rsid w:val="00197390"/>
    <w:rsid w:val="001A29CA"/>
    <w:rsid w:val="001A553B"/>
    <w:rsid w:val="001A72E8"/>
    <w:rsid w:val="001A7481"/>
    <w:rsid w:val="001B40ED"/>
    <w:rsid w:val="001B63AC"/>
    <w:rsid w:val="001B78A4"/>
    <w:rsid w:val="001C287D"/>
    <w:rsid w:val="001C3AE2"/>
    <w:rsid w:val="001C59B9"/>
    <w:rsid w:val="001C5BD0"/>
    <w:rsid w:val="001C6FD8"/>
    <w:rsid w:val="001D01B9"/>
    <w:rsid w:val="001D4B52"/>
    <w:rsid w:val="001D5653"/>
    <w:rsid w:val="001D6325"/>
    <w:rsid w:val="001D7C7D"/>
    <w:rsid w:val="001E05C1"/>
    <w:rsid w:val="001E06DB"/>
    <w:rsid w:val="001E49D3"/>
    <w:rsid w:val="001E5404"/>
    <w:rsid w:val="001E5685"/>
    <w:rsid w:val="001E5F7D"/>
    <w:rsid w:val="001E6366"/>
    <w:rsid w:val="001E7D2B"/>
    <w:rsid w:val="001F6A15"/>
    <w:rsid w:val="001F6A89"/>
    <w:rsid w:val="001F7074"/>
    <w:rsid w:val="0020144A"/>
    <w:rsid w:val="00201838"/>
    <w:rsid w:val="00210218"/>
    <w:rsid w:val="002135E0"/>
    <w:rsid w:val="00223C94"/>
    <w:rsid w:val="00237C63"/>
    <w:rsid w:val="0024017C"/>
    <w:rsid w:val="0024044A"/>
    <w:rsid w:val="002468BC"/>
    <w:rsid w:val="00254E34"/>
    <w:rsid w:val="00257173"/>
    <w:rsid w:val="00263843"/>
    <w:rsid w:val="00263BBE"/>
    <w:rsid w:val="002661E1"/>
    <w:rsid w:val="0026723B"/>
    <w:rsid w:val="00272E20"/>
    <w:rsid w:val="00273134"/>
    <w:rsid w:val="00275D1B"/>
    <w:rsid w:val="00277C5E"/>
    <w:rsid w:val="00290E95"/>
    <w:rsid w:val="00291A30"/>
    <w:rsid w:val="002961D8"/>
    <w:rsid w:val="00296284"/>
    <w:rsid w:val="0029741E"/>
    <w:rsid w:val="00297B18"/>
    <w:rsid w:val="002A4147"/>
    <w:rsid w:val="002A6DA4"/>
    <w:rsid w:val="002B1C38"/>
    <w:rsid w:val="002B2D10"/>
    <w:rsid w:val="002C18AB"/>
    <w:rsid w:val="002C345F"/>
    <w:rsid w:val="002C35CA"/>
    <w:rsid w:val="002D0DEC"/>
    <w:rsid w:val="002D2FCE"/>
    <w:rsid w:val="002D4A59"/>
    <w:rsid w:val="002D6790"/>
    <w:rsid w:val="002E197A"/>
    <w:rsid w:val="002E2602"/>
    <w:rsid w:val="002E647E"/>
    <w:rsid w:val="002E7FA3"/>
    <w:rsid w:val="00301D60"/>
    <w:rsid w:val="00301E63"/>
    <w:rsid w:val="0030519C"/>
    <w:rsid w:val="00307A80"/>
    <w:rsid w:val="00307D61"/>
    <w:rsid w:val="00311035"/>
    <w:rsid w:val="00312AEA"/>
    <w:rsid w:val="00313735"/>
    <w:rsid w:val="00314A97"/>
    <w:rsid w:val="00325196"/>
    <w:rsid w:val="00325B58"/>
    <w:rsid w:val="00327B9A"/>
    <w:rsid w:val="003307B2"/>
    <w:rsid w:val="00332249"/>
    <w:rsid w:val="003342D8"/>
    <w:rsid w:val="00340E90"/>
    <w:rsid w:val="00341A6B"/>
    <w:rsid w:val="0035284A"/>
    <w:rsid w:val="003610C5"/>
    <w:rsid w:val="00364997"/>
    <w:rsid w:val="00366E6C"/>
    <w:rsid w:val="00372F56"/>
    <w:rsid w:val="00375760"/>
    <w:rsid w:val="00376AB8"/>
    <w:rsid w:val="00380B78"/>
    <w:rsid w:val="00381F42"/>
    <w:rsid w:val="003826EA"/>
    <w:rsid w:val="00384E5F"/>
    <w:rsid w:val="00386A08"/>
    <w:rsid w:val="0039211A"/>
    <w:rsid w:val="00392A01"/>
    <w:rsid w:val="003A3C50"/>
    <w:rsid w:val="003A5CE0"/>
    <w:rsid w:val="003B1044"/>
    <w:rsid w:val="003B5AFC"/>
    <w:rsid w:val="003B6227"/>
    <w:rsid w:val="003C06DB"/>
    <w:rsid w:val="003C074D"/>
    <w:rsid w:val="003C22F5"/>
    <w:rsid w:val="003C28B6"/>
    <w:rsid w:val="003C4B52"/>
    <w:rsid w:val="003C5BB9"/>
    <w:rsid w:val="003C7A7A"/>
    <w:rsid w:val="003D4F8C"/>
    <w:rsid w:val="003D5919"/>
    <w:rsid w:val="003E3015"/>
    <w:rsid w:val="003E4B79"/>
    <w:rsid w:val="003E7C9D"/>
    <w:rsid w:val="00406934"/>
    <w:rsid w:val="00406DAD"/>
    <w:rsid w:val="004116A7"/>
    <w:rsid w:val="00412887"/>
    <w:rsid w:val="00412D6D"/>
    <w:rsid w:val="00416A36"/>
    <w:rsid w:val="00420681"/>
    <w:rsid w:val="00427C65"/>
    <w:rsid w:val="00435BB8"/>
    <w:rsid w:val="004373D6"/>
    <w:rsid w:val="004376C5"/>
    <w:rsid w:val="0044553B"/>
    <w:rsid w:val="00446758"/>
    <w:rsid w:val="00454C8D"/>
    <w:rsid w:val="004551A7"/>
    <w:rsid w:val="004553A1"/>
    <w:rsid w:val="004566C3"/>
    <w:rsid w:val="00461C1F"/>
    <w:rsid w:val="00461E2C"/>
    <w:rsid w:val="004719F2"/>
    <w:rsid w:val="004722C7"/>
    <w:rsid w:val="004768E6"/>
    <w:rsid w:val="0048266F"/>
    <w:rsid w:val="00482D71"/>
    <w:rsid w:val="00483477"/>
    <w:rsid w:val="00486641"/>
    <w:rsid w:val="004918B1"/>
    <w:rsid w:val="0049736C"/>
    <w:rsid w:val="004A34BD"/>
    <w:rsid w:val="004A4981"/>
    <w:rsid w:val="004A697D"/>
    <w:rsid w:val="004B6A32"/>
    <w:rsid w:val="004C0B04"/>
    <w:rsid w:val="004C7292"/>
    <w:rsid w:val="004C7392"/>
    <w:rsid w:val="004D13F0"/>
    <w:rsid w:val="004D14D0"/>
    <w:rsid w:val="004D6E66"/>
    <w:rsid w:val="004D7F1B"/>
    <w:rsid w:val="004E05B0"/>
    <w:rsid w:val="004E4F67"/>
    <w:rsid w:val="004E6EF5"/>
    <w:rsid w:val="004F00D0"/>
    <w:rsid w:val="004F470E"/>
    <w:rsid w:val="004F4BCD"/>
    <w:rsid w:val="004F4F25"/>
    <w:rsid w:val="004F524C"/>
    <w:rsid w:val="00501D53"/>
    <w:rsid w:val="005057D0"/>
    <w:rsid w:val="00517D68"/>
    <w:rsid w:val="005206AE"/>
    <w:rsid w:val="005207B9"/>
    <w:rsid w:val="00520E16"/>
    <w:rsid w:val="00530243"/>
    <w:rsid w:val="005316CD"/>
    <w:rsid w:val="00532A66"/>
    <w:rsid w:val="00532F07"/>
    <w:rsid w:val="00533AEE"/>
    <w:rsid w:val="00541C1D"/>
    <w:rsid w:val="00545933"/>
    <w:rsid w:val="00545B63"/>
    <w:rsid w:val="00552B39"/>
    <w:rsid w:val="00561979"/>
    <w:rsid w:val="00565630"/>
    <w:rsid w:val="00570E35"/>
    <w:rsid w:val="00571DC8"/>
    <w:rsid w:val="0057339A"/>
    <w:rsid w:val="00574CF1"/>
    <w:rsid w:val="00580B05"/>
    <w:rsid w:val="005816CA"/>
    <w:rsid w:val="005929F3"/>
    <w:rsid w:val="005A1895"/>
    <w:rsid w:val="005A1B57"/>
    <w:rsid w:val="005A71A6"/>
    <w:rsid w:val="005B1F44"/>
    <w:rsid w:val="005B38E9"/>
    <w:rsid w:val="005B6991"/>
    <w:rsid w:val="005C1E54"/>
    <w:rsid w:val="005C6AA0"/>
    <w:rsid w:val="005C7C81"/>
    <w:rsid w:val="005D3F80"/>
    <w:rsid w:val="005D5EF1"/>
    <w:rsid w:val="005E5DC1"/>
    <w:rsid w:val="005F1A29"/>
    <w:rsid w:val="005F275A"/>
    <w:rsid w:val="005F3E0E"/>
    <w:rsid w:val="005F477E"/>
    <w:rsid w:val="005F4B64"/>
    <w:rsid w:val="006023E1"/>
    <w:rsid w:val="00602832"/>
    <w:rsid w:val="00602B26"/>
    <w:rsid w:val="00604E7D"/>
    <w:rsid w:val="00607697"/>
    <w:rsid w:val="006147EA"/>
    <w:rsid w:val="00616608"/>
    <w:rsid w:val="006179D8"/>
    <w:rsid w:val="00617D39"/>
    <w:rsid w:val="00632628"/>
    <w:rsid w:val="00633B75"/>
    <w:rsid w:val="006346C6"/>
    <w:rsid w:val="006440E9"/>
    <w:rsid w:val="0064697F"/>
    <w:rsid w:val="006479D1"/>
    <w:rsid w:val="00650CC8"/>
    <w:rsid w:val="0065399F"/>
    <w:rsid w:val="00657622"/>
    <w:rsid w:val="006659DB"/>
    <w:rsid w:val="006676C4"/>
    <w:rsid w:val="00670E8A"/>
    <w:rsid w:val="00672AF7"/>
    <w:rsid w:val="00675198"/>
    <w:rsid w:val="0068624A"/>
    <w:rsid w:val="00686B45"/>
    <w:rsid w:val="00691B2E"/>
    <w:rsid w:val="00692FC1"/>
    <w:rsid w:val="006A0726"/>
    <w:rsid w:val="006A31F5"/>
    <w:rsid w:val="006A5C21"/>
    <w:rsid w:val="006A6240"/>
    <w:rsid w:val="006A6B66"/>
    <w:rsid w:val="006B02ED"/>
    <w:rsid w:val="006B1BF8"/>
    <w:rsid w:val="006B3CB1"/>
    <w:rsid w:val="006B4C3D"/>
    <w:rsid w:val="006C1CA4"/>
    <w:rsid w:val="006D1840"/>
    <w:rsid w:val="006E44D1"/>
    <w:rsid w:val="006E4E2F"/>
    <w:rsid w:val="006F012D"/>
    <w:rsid w:val="006F0E07"/>
    <w:rsid w:val="006F347F"/>
    <w:rsid w:val="006F54CA"/>
    <w:rsid w:val="006F5EBB"/>
    <w:rsid w:val="006F7561"/>
    <w:rsid w:val="00703382"/>
    <w:rsid w:val="0070451F"/>
    <w:rsid w:val="00704C14"/>
    <w:rsid w:val="0071058D"/>
    <w:rsid w:val="00714BC1"/>
    <w:rsid w:val="007206C1"/>
    <w:rsid w:val="007223C6"/>
    <w:rsid w:val="00726214"/>
    <w:rsid w:val="00733F98"/>
    <w:rsid w:val="007340C0"/>
    <w:rsid w:val="00736DD8"/>
    <w:rsid w:val="00737733"/>
    <w:rsid w:val="00741317"/>
    <w:rsid w:val="00743602"/>
    <w:rsid w:val="0074390A"/>
    <w:rsid w:val="007439D1"/>
    <w:rsid w:val="0075332F"/>
    <w:rsid w:val="00755048"/>
    <w:rsid w:val="00756B7F"/>
    <w:rsid w:val="00757F1F"/>
    <w:rsid w:val="00760815"/>
    <w:rsid w:val="00771037"/>
    <w:rsid w:val="00774EB2"/>
    <w:rsid w:val="00780DBF"/>
    <w:rsid w:val="0078657C"/>
    <w:rsid w:val="00793A6E"/>
    <w:rsid w:val="00793B0A"/>
    <w:rsid w:val="00794A32"/>
    <w:rsid w:val="007A2AD4"/>
    <w:rsid w:val="007B0156"/>
    <w:rsid w:val="007B6652"/>
    <w:rsid w:val="007B73D6"/>
    <w:rsid w:val="007C2CE8"/>
    <w:rsid w:val="007C3D2B"/>
    <w:rsid w:val="007D05F2"/>
    <w:rsid w:val="007D4D35"/>
    <w:rsid w:val="007D7D5F"/>
    <w:rsid w:val="007E0852"/>
    <w:rsid w:val="007E0BD9"/>
    <w:rsid w:val="007E3CE9"/>
    <w:rsid w:val="0080135F"/>
    <w:rsid w:val="00802A1E"/>
    <w:rsid w:val="00802BAF"/>
    <w:rsid w:val="008035B8"/>
    <w:rsid w:val="00806C1B"/>
    <w:rsid w:val="0081148B"/>
    <w:rsid w:val="0081673D"/>
    <w:rsid w:val="0082040B"/>
    <w:rsid w:val="0082273B"/>
    <w:rsid w:val="008341C1"/>
    <w:rsid w:val="00837837"/>
    <w:rsid w:val="00837B5D"/>
    <w:rsid w:val="00837E80"/>
    <w:rsid w:val="008445B0"/>
    <w:rsid w:val="008546EA"/>
    <w:rsid w:val="00857D2B"/>
    <w:rsid w:val="00861038"/>
    <w:rsid w:val="00866AFA"/>
    <w:rsid w:val="008736F9"/>
    <w:rsid w:val="00873B80"/>
    <w:rsid w:val="008849AE"/>
    <w:rsid w:val="008947BF"/>
    <w:rsid w:val="00896309"/>
    <w:rsid w:val="00896E9F"/>
    <w:rsid w:val="008A3CD8"/>
    <w:rsid w:val="008B32F3"/>
    <w:rsid w:val="008B3CCA"/>
    <w:rsid w:val="008B56B4"/>
    <w:rsid w:val="008B5F1D"/>
    <w:rsid w:val="008B5F7E"/>
    <w:rsid w:val="008C5825"/>
    <w:rsid w:val="008D1269"/>
    <w:rsid w:val="008D6274"/>
    <w:rsid w:val="008E06A7"/>
    <w:rsid w:val="008E4023"/>
    <w:rsid w:val="008E510E"/>
    <w:rsid w:val="008F29DC"/>
    <w:rsid w:val="008F3D2E"/>
    <w:rsid w:val="008F3E43"/>
    <w:rsid w:val="008F426D"/>
    <w:rsid w:val="008F7CA7"/>
    <w:rsid w:val="009005DF"/>
    <w:rsid w:val="00900817"/>
    <w:rsid w:val="00906BDB"/>
    <w:rsid w:val="00910776"/>
    <w:rsid w:val="00910D13"/>
    <w:rsid w:val="009117CC"/>
    <w:rsid w:val="00913A8F"/>
    <w:rsid w:val="00914A2F"/>
    <w:rsid w:val="00923C7E"/>
    <w:rsid w:val="00923EB4"/>
    <w:rsid w:val="0092562F"/>
    <w:rsid w:val="00932764"/>
    <w:rsid w:val="00933B32"/>
    <w:rsid w:val="0093441D"/>
    <w:rsid w:val="009347B6"/>
    <w:rsid w:val="00941C57"/>
    <w:rsid w:val="00947D3F"/>
    <w:rsid w:val="009506A4"/>
    <w:rsid w:val="00953F22"/>
    <w:rsid w:val="00956418"/>
    <w:rsid w:val="00956819"/>
    <w:rsid w:val="009655BD"/>
    <w:rsid w:val="009669D0"/>
    <w:rsid w:val="009726C6"/>
    <w:rsid w:val="0098064D"/>
    <w:rsid w:val="0098383A"/>
    <w:rsid w:val="0099204C"/>
    <w:rsid w:val="009A189A"/>
    <w:rsid w:val="009A5809"/>
    <w:rsid w:val="009A5CB8"/>
    <w:rsid w:val="009A7316"/>
    <w:rsid w:val="009B052A"/>
    <w:rsid w:val="009B3673"/>
    <w:rsid w:val="009B3CAB"/>
    <w:rsid w:val="009B539F"/>
    <w:rsid w:val="009B77CE"/>
    <w:rsid w:val="009B7EDE"/>
    <w:rsid w:val="009C3E29"/>
    <w:rsid w:val="009C6858"/>
    <w:rsid w:val="009C6FC1"/>
    <w:rsid w:val="009D0544"/>
    <w:rsid w:val="009E2A31"/>
    <w:rsid w:val="009E512D"/>
    <w:rsid w:val="009F23EE"/>
    <w:rsid w:val="009F25B4"/>
    <w:rsid w:val="009F2E1F"/>
    <w:rsid w:val="009F5227"/>
    <w:rsid w:val="009F5859"/>
    <w:rsid w:val="009F5BDC"/>
    <w:rsid w:val="00A028B0"/>
    <w:rsid w:val="00A054C0"/>
    <w:rsid w:val="00A06EF2"/>
    <w:rsid w:val="00A1610B"/>
    <w:rsid w:val="00A21F4E"/>
    <w:rsid w:val="00A22D91"/>
    <w:rsid w:val="00A300B7"/>
    <w:rsid w:val="00A30435"/>
    <w:rsid w:val="00A32411"/>
    <w:rsid w:val="00A32CE8"/>
    <w:rsid w:val="00A334E8"/>
    <w:rsid w:val="00A355F9"/>
    <w:rsid w:val="00A37B48"/>
    <w:rsid w:val="00A37C93"/>
    <w:rsid w:val="00A4069F"/>
    <w:rsid w:val="00A43793"/>
    <w:rsid w:val="00A45523"/>
    <w:rsid w:val="00A4729E"/>
    <w:rsid w:val="00A57190"/>
    <w:rsid w:val="00A666C4"/>
    <w:rsid w:val="00A67F92"/>
    <w:rsid w:val="00A73610"/>
    <w:rsid w:val="00A844DE"/>
    <w:rsid w:val="00AA156B"/>
    <w:rsid w:val="00AA6715"/>
    <w:rsid w:val="00AB0CA4"/>
    <w:rsid w:val="00AB104E"/>
    <w:rsid w:val="00AB139A"/>
    <w:rsid w:val="00AB2AAA"/>
    <w:rsid w:val="00AB5925"/>
    <w:rsid w:val="00AC0398"/>
    <w:rsid w:val="00AC2B05"/>
    <w:rsid w:val="00AC477A"/>
    <w:rsid w:val="00AC586F"/>
    <w:rsid w:val="00AD18E3"/>
    <w:rsid w:val="00AD3CDE"/>
    <w:rsid w:val="00AD7373"/>
    <w:rsid w:val="00AE016E"/>
    <w:rsid w:val="00AE4D04"/>
    <w:rsid w:val="00AE5289"/>
    <w:rsid w:val="00AF03E4"/>
    <w:rsid w:val="00AF2DD5"/>
    <w:rsid w:val="00AF456E"/>
    <w:rsid w:val="00AF6209"/>
    <w:rsid w:val="00AF7775"/>
    <w:rsid w:val="00AF7791"/>
    <w:rsid w:val="00AF7FEF"/>
    <w:rsid w:val="00B0123D"/>
    <w:rsid w:val="00B04B63"/>
    <w:rsid w:val="00B04DF0"/>
    <w:rsid w:val="00B1463D"/>
    <w:rsid w:val="00B14E27"/>
    <w:rsid w:val="00B20C53"/>
    <w:rsid w:val="00B23771"/>
    <w:rsid w:val="00B27564"/>
    <w:rsid w:val="00B311C8"/>
    <w:rsid w:val="00B35FE4"/>
    <w:rsid w:val="00B5003E"/>
    <w:rsid w:val="00B526EE"/>
    <w:rsid w:val="00B54C1C"/>
    <w:rsid w:val="00B54D7C"/>
    <w:rsid w:val="00B5652B"/>
    <w:rsid w:val="00B574A8"/>
    <w:rsid w:val="00B57C88"/>
    <w:rsid w:val="00B610E6"/>
    <w:rsid w:val="00B64642"/>
    <w:rsid w:val="00B64B02"/>
    <w:rsid w:val="00B653E7"/>
    <w:rsid w:val="00B6751D"/>
    <w:rsid w:val="00B67966"/>
    <w:rsid w:val="00B819B4"/>
    <w:rsid w:val="00B91F13"/>
    <w:rsid w:val="00B93431"/>
    <w:rsid w:val="00B95049"/>
    <w:rsid w:val="00B97B44"/>
    <w:rsid w:val="00BA02E8"/>
    <w:rsid w:val="00BA61A0"/>
    <w:rsid w:val="00BA6690"/>
    <w:rsid w:val="00BB67B5"/>
    <w:rsid w:val="00BC1E84"/>
    <w:rsid w:val="00BC64CB"/>
    <w:rsid w:val="00BC68FA"/>
    <w:rsid w:val="00BD5055"/>
    <w:rsid w:val="00BD6CF2"/>
    <w:rsid w:val="00BE0E9E"/>
    <w:rsid w:val="00BE1259"/>
    <w:rsid w:val="00BF2A8A"/>
    <w:rsid w:val="00BF6884"/>
    <w:rsid w:val="00C0037E"/>
    <w:rsid w:val="00C057AE"/>
    <w:rsid w:val="00C14452"/>
    <w:rsid w:val="00C1639F"/>
    <w:rsid w:val="00C309CB"/>
    <w:rsid w:val="00C3102A"/>
    <w:rsid w:val="00C33EDC"/>
    <w:rsid w:val="00C35B89"/>
    <w:rsid w:val="00C42F38"/>
    <w:rsid w:val="00C44D9E"/>
    <w:rsid w:val="00C45E32"/>
    <w:rsid w:val="00C46D94"/>
    <w:rsid w:val="00C535F0"/>
    <w:rsid w:val="00C5500C"/>
    <w:rsid w:val="00C57EB2"/>
    <w:rsid w:val="00C655D1"/>
    <w:rsid w:val="00C70BD1"/>
    <w:rsid w:val="00C7269C"/>
    <w:rsid w:val="00C76167"/>
    <w:rsid w:val="00C83287"/>
    <w:rsid w:val="00C83E22"/>
    <w:rsid w:val="00C86BA2"/>
    <w:rsid w:val="00C90E2A"/>
    <w:rsid w:val="00C9173C"/>
    <w:rsid w:val="00C94C10"/>
    <w:rsid w:val="00CA2DA6"/>
    <w:rsid w:val="00CB43E4"/>
    <w:rsid w:val="00CB494B"/>
    <w:rsid w:val="00CB570E"/>
    <w:rsid w:val="00CD0FE8"/>
    <w:rsid w:val="00CD13AE"/>
    <w:rsid w:val="00CD4B1F"/>
    <w:rsid w:val="00CD6559"/>
    <w:rsid w:val="00CF61CF"/>
    <w:rsid w:val="00CF70EB"/>
    <w:rsid w:val="00CF7530"/>
    <w:rsid w:val="00D00464"/>
    <w:rsid w:val="00D02923"/>
    <w:rsid w:val="00D0322D"/>
    <w:rsid w:val="00D033EF"/>
    <w:rsid w:val="00D071D0"/>
    <w:rsid w:val="00D130AD"/>
    <w:rsid w:val="00D13D8B"/>
    <w:rsid w:val="00D15E83"/>
    <w:rsid w:val="00D16407"/>
    <w:rsid w:val="00D20D04"/>
    <w:rsid w:val="00D213E6"/>
    <w:rsid w:val="00D21A4C"/>
    <w:rsid w:val="00D271E0"/>
    <w:rsid w:val="00D31E52"/>
    <w:rsid w:val="00D353C1"/>
    <w:rsid w:val="00D36CF4"/>
    <w:rsid w:val="00D37D59"/>
    <w:rsid w:val="00D44D25"/>
    <w:rsid w:val="00D47AA6"/>
    <w:rsid w:val="00D5176F"/>
    <w:rsid w:val="00D5560B"/>
    <w:rsid w:val="00D60759"/>
    <w:rsid w:val="00D61D84"/>
    <w:rsid w:val="00D61DC9"/>
    <w:rsid w:val="00D624FC"/>
    <w:rsid w:val="00D63BFA"/>
    <w:rsid w:val="00D65823"/>
    <w:rsid w:val="00D7010E"/>
    <w:rsid w:val="00D7277D"/>
    <w:rsid w:val="00D737C3"/>
    <w:rsid w:val="00D802DD"/>
    <w:rsid w:val="00D9153B"/>
    <w:rsid w:val="00D91CC2"/>
    <w:rsid w:val="00D94379"/>
    <w:rsid w:val="00D95E62"/>
    <w:rsid w:val="00DA2C4E"/>
    <w:rsid w:val="00DA6E1B"/>
    <w:rsid w:val="00DA6EA6"/>
    <w:rsid w:val="00DB1679"/>
    <w:rsid w:val="00DB3A52"/>
    <w:rsid w:val="00DC1288"/>
    <w:rsid w:val="00DC239E"/>
    <w:rsid w:val="00DC5E9F"/>
    <w:rsid w:val="00DD110F"/>
    <w:rsid w:val="00DD1EA9"/>
    <w:rsid w:val="00DD54F8"/>
    <w:rsid w:val="00DE34A1"/>
    <w:rsid w:val="00DE4818"/>
    <w:rsid w:val="00DE4C33"/>
    <w:rsid w:val="00DE5632"/>
    <w:rsid w:val="00DE7C4F"/>
    <w:rsid w:val="00DE7DF0"/>
    <w:rsid w:val="00DF3209"/>
    <w:rsid w:val="00DF502A"/>
    <w:rsid w:val="00DF7044"/>
    <w:rsid w:val="00E01214"/>
    <w:rsid w:val="00E063A1"/>
    <w:rsid w:val="00E07C7A"/>
    <w:rsid w:val="00E21CA5"/>
    <w:rsid w:val="00E220E3"/>
    <w:rsid w:val="00E352D4"/>
    <w:rsid w:val="00E3795C"/>
    <w:rsid w:val="00E41445"/>
    <w:rsid w:val="00E422A8"/>
    <w:rsid w:val="00E4321B"/>
    <w:rsid w:val="00E43A07"/>
    <w:rsid w:val="00E44DC7"/>
    <w:rsid w:val="00E45FDA"/>
    <w:rsid w:val="00E47DED"/>
    <w:rsid w:val="00E50832"/>
    <w:rsid w:val="00E56D1D"/>
    <w:rsid w:val="00E57900"/>
    <w:rsid w:val="00E62176"/>
    <w:rsid w:val="00E63D5B"/>
    <w:rsid w:val="00E67A7B"/>
    <w:rsid w:val="00E73F86"/>
    <w:rsid w:val="00E7481B"/>
    <w:rsid w:val="00E74873"/>
    <w:rsid w:val="00E74A9C"/>
    <w:rsid w:val="00E75D48"/>
    <w:rsid w:val="00E75E6A"/>
    <w:rsid w:val="00E805E4"/>
    <w:rsid w:val="00E81B4E"/>
    <w:rsid w:val="00E8302E"/>
    <w:rsid w:val="00E92A0A"/>
    <w:rsid w:val="00E96D2B"/>
    <w:rsid w:val="00EA1298"/>
    <w:rsid w:val="00EA1FC9"/>
    <w:rsid w:val="00EA54D8"/>
    <w:rsid w:val="00EA7086"/>
    <w:rsid w:val="00EB1627"/>
    <w:rsid w:val="00EB195A"/>
    <w:rsid w:val="00EB2F33"/>
    <w:rsid w:val="00EB3FEE"/>
    <w:rsid w:val="00EB4272"/>
    <w:rsid w:val="00EC0045"/>
    <w:rsid w:val="00EC0312"/>
    <w:rsid w:val="00EC387D"/>
    <w:rsid w:val="00EC5FBD"/>
    <w:rsid w:val="00ED32D7"/>
    <w:rsid w:val="00ED73B1"/>
    <w:rsid w:val="00EE43B4"/>
    <w:rsid w:val="00EE43F1"/>
    <w:rsid w:val="00EF1EDA"/>
    <w:rsid w:val="00EF26A9"/>
    <w:rsid w:val="00EF2C04"/>
    <w:rsid w:val="00EF72F1"/>
    <w:rsid w:val="00F01F3F"/>
    <w:rsid w:val="00F036D5"/>
    <w:rsid w:val="00F0553B"/>
    <w:rsid w:val="00F14117"/>
    <w:rsid w:val="00F16E4A"/>
    <w:rsid w:val="00F213B9"/>
    <w:rsid w:val="00F21774"/>
    <w:rsid w:val="00F22C7C"/>
    <w:rsid w:val="00F24901"/>
    <w:rsid w:val="00F32692"/>
    <w:rsid w:val="00F422FA"/>
    <w:rsid w:val="00F54FA5"/>
    <w:rsid w:val="00F567C5"/>
    <w:rsid w:val="00F63C14"/>
    <w:rsid w:val="00F67D6E"/>
    <w:rsid w:val="00F73035"/>
    <w:rsid w:val="00F744E3"/>
    <w:rsid w:val="00F745BB"/>
    <w:rsid w:val="00F80193"/>
    <w:rsid w:val="00F802E7"/>
    <w:rsid w:val="00F830DC"/>
    <w:rsid w:val="00F908E0"/>
    <w:rsid w:val="00F9495A"/>
    <w:rsid w:val="00FA053F"/>
    <w:rsid w:val="00FB2D37"/>
    <w:rsid w:val="00FB3844"/>
    <w:rsid w:val="00FB49D7"/>
    <w:rsid w:val="00FC311D"/>
    <w:rsid w:val="00FC387B"/>
    <w:rsid w:val="00FC6C69"/>
    <w:rsid w:val="00FC78D3"/>
    <w:rsid w:val="00FD1BED"/>
    <w:rsid w:val="00FD2F67"/>
    <w:rsid w:val="00FD4D46"/>
    <w:rsid w:val="00FD7A59"/>
    <w:rsid w:val="00FE70CC"/>
    <w:rsid w:val="00FE7BDE"/>
    <w:rsid w:val="00FF3989"/>
    <w:rsid w:val="00FF6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7567"/>
  <w15:chartTrackingRefBased/>
  <w15:docId w15:val="{E7E8F5E0-516D-440E-A6E5-063D8C00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A2F"/>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914A2F"/>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iPriority w:val="9"/>
    <w:unhideWhenUsed/>
    <w:qFormat/>
    <w:rsid w:val="00914A2F"/>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iPriority w:val="9"/>
    <w:unhideWhenUsed/>
    <w:qFormat/>
    <w:rsid w:val="00914A2F"/>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914A2F"/>
    <w:pPr>
      <w:numPr>
        <w:numId w:val="3"/>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914A2F"/>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4A2F"/>
    <w:rPr>
      <w:rFonts w:asciiTheme="majorHAnsi" w:eastAsiaTheme="majorEastAsia" w:hAnsiTheme="majorHAnsi" w:cs="David"/>
      <w:bCs/>
      <w:sz w:val="32"/>
      <w:szCs w:val="36"/>
    </w:rPr>
  </w:style>
  <w:style w:type="character" w:customStyle="1" w:styleId="40">
    <w:name w:val="כותרת 4 תו"/>
    <w:basedOn w:val="a0"/>
    <w:link w:val="4"/>
    <w:uiPriority w:val="9"/>
    <w:rsid w:val="00914A2F"/>
    <w:rPr>
      <w:rFonts w:ascii="David" w:hAnsi="David" w:cs="David"/>
      <w:b/>
      <w:bCs/>
      <w:color w:val="000000" w:themeColor="text1"/>
      <w:sz w:val="24"/>
      <w:szCs w:val="28"/>
    </w:rPr>
  </w:style>
  <w:style w:type="paragraph" w:customStyle="1" w:styleId="TableText">
    <w:name w:val="Table Text"/>
    <w:basedOn w:val="a"/>
    <w:rsid w:val="00914A2F"/>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914A2F"/>
    <w:pPr>
      <w:outlineLvl w:val="2"/>
    </w:pPr>
  </w:style>
  <w:style w:type="paragraph" w:customStyle="1" w:styleId="TableBlock">
    <w:name w:val="Table Block"/>
    <w:basedOn w:val="TableText"/>
    <w:rsid w:val="00914A2F"/>
    <w:pPr>
      <w:jc w:val="both"/>
    </w:pPr>
  </w:style>
  <w:style w:type="paragraph" w:customStyle="1" w:styleId="TableHead">
    <w:name w:val="Table Head"/>
    <w:basedOn w:val="TableText"/>
    <w:rsid w:val="00914A2F"/>
    <w:pPr>
      <w:jc w:val="center"/>
      <w:outlineLvl w:val="1"/>
    </w:pPr>
    <w:rPr>
      <w:b/>
      <w:bCs/>
    </w:rPr>
  </w:style>
  <w:style w:type="paragraph" w:customStyle="1" w:styleId="HeadMitparsemetBaze">
    <w:name w:val="Head MitparsemetBaze"/>
    <w:basedOn w:val="a"/>
    <w:rsid w:val="00914A2F"/>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914A2F"/>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914A2F"/>
    <w:pPr>
      <w:tabs>
        <w:tab w:val="left" w:pos="680"/>
        <w:tab w:val="left" w:pos="1020"/>
      </w:tabs>
      <w:ind w:firstLine="0"/>
    </w:pPr>
  </w:style>
  <w:style w:type="paragraph" w:customStyle="1" w:styleId="HeadDivreiHesber">
    <w:name w:val="Head DivreiHesber"/>
    <w:basedOn w:val="a"/>
    <w:rsid w:val="00914A2F"/>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uiPriority w:val="9"/>
    <w:rsid w:val="00914A2F"/>
    <w:rPr>
      <w:rFonts w:asciiTheme="majorHAnsi" w:eastAsiaTheme="majorEastAsia" w:hAnsiTheme="majorHAnsi" w:cs="David"/>
      <w:bCs/>
      <w:sz w:val="26"/>
      <w:szCs w:val="36"/>
      <w:u w:val="single"/>
    </w:rPr>
  </w:style>
  <w:style w:type="character" w:customStyle="1" w:styleId="30">
    <w:name w:val="כותרת 3 תו"/>
    <w:basedOn w:val="a0"/>
    <w:link w:val="3"/>
    <w:uiPriority w:val="9"/>
    <w:rsid w:val="00914A2F"/>
    <w:rPr>
      <w:rFonts w:asciiTheme="majorHAnsi" w:eastAsiaTheme="majorEastAsia" w:hAnsiTheme="majorHAnsi" w:cs="David"/>
      <w:sz w:val="24"/>
      <w:szCs w:val="28"/>
      <w:u w:val="double"/>
    </w:rPr>
  </w:style>
  <w:style w:type="character" w:customStyle="1" w:styleId="50">
    <w:name w:val="כותרת 5 תו"/>
    <w:basedOn w:val="a0"/>
    <w:link w:val="5"/>
    <w:uiPriority w:val="9"/>
    <w:rsid w:val="00914A2F"/>
    <w:rPr>
      <w:rFonts w:ascii="David" w:hAnsi="David" w:cs="David"/>
      <w:color w:val="000000" w:themeColor="text1"/>
      <w:sz w:val="24"/>
      <w:szCs w:val="24"/>
    </w:rPr>
  </w:style>
  <w:style w:type="paragraph" w:customStyle="1" w:styleId="HeadHatzaotHok4Futer">
    <w:name w:val="Head HatzaotHok4Futer"/>
    <w:basedOn w:val="HeadHatzaotHok"/>
    <w:rsid w:val="00914A2F"/>
    <w:pPr>
      <w:spacing w:before="120" w:after="120"/>
    </w:pPr>
    <w:rPr>
      <w:color w:val="FF0000"/>
      <w:w w:val="80"/>
    </w:rPr>
  </w:style>
  <w:style w:type="paragraph" w:styleId="a3">
    <w:name w:val="endnote text"/>
    <w:basedOn w:val="a"/>
    <w:link w:val="a4"/>
    <w:semiHidden/>
    <w:rsid w:val="00914A2F"/>
    <w:pPr>
      <w:ind w:left="227" w:hanging="227"/>
    </w:pPr>
    <w:rPr>
      <w:sz w:val="14"/>
      <w:szCs w:val="22"/>
    </w:rPr>
  </w:style>
  <w:style w:type="character" w:customStyle="1" w:styleId="a4">
    <w:name w:val="טקסט הערת סיום תו"/>
    <w:basedOn w:val="a0"/>
    <w:link w:val="a3"/>
    <w:semiHidden/>
    <w:rsid w:val="00914A2F"/>
    <w:rPr>
      <w:rFonts w:ascii="David" w:hAnsi="David" w:cs="David"/>
      <w:sz w:val="14"/>
    </w:rPr>
  </w:style>
  <w:style w:type="paragraph" w:customStyle="1" w:styleId="TableInnerSideHeading">
    <w:name w:val="Table InnerSideHeading"/>
    <w:basedOn w:val="TableSideHeading"/>
    <w:rsid w:val="00914A2F"/>
    <w:pPr>
      <w:outlineLvl w:val="9"/>
    </w:pPr>
  </w:style>
  <w:style w:type="paragraph" w:customStyle="1" w:styleId="Hesber">
    <w:name w:val="Hesber"/>
    <w:basedOn w:val="a"/>
    <w:rsid w:val="00914A2F"/>
    <w:pPr>
      <w:snapToGrid w:val="0"/>
      <w:ind w:left="0" w:firstLine="340"/>
    </w:pPr>
    <w:rPr>
      <w:rFonts w:ascii="Arial" w:eastAsia="Arial Unicode MS" w:hAnsi="Arial"/>
      <w:snapToGrid w:val="0"/>
      <w:sz w:val="20"/>
      <w:szCs w:val="26"/>
    </w:rPr>
  </w:style>
  <w:style w:type="paragraph" w:styleId="a5">
    <w:name w:val="footnote text"/>
    <w:aliases w:val="Footnote Text Char,fn,טקסט הערות שוליים תו,טקסט הערות שוליים תו Char Char,טקסט הערות שוליים תו Char Char Char,טקסט הערות שוליים תו תו Char,טקסט הערות שוליים תו תו Char Char,טקסט הערות שוליים תו תו Char Char Char Char Char"/>
    <w:basedOn w:val="a"/>
    <w:link w:val="a6"/>
    <w:autoRedefine/>
    <w:qFormat/>
    <w:rsid w:val="001359A4"/>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aliases w:val="Footnote Text Char תו,fn תו,טקסט הערות שוליים תו תו,טקסט הערות שוליים תו Char Char תו,טקסט הערות שוליים תו Char Char Char תו,טקסט הערות שוליים תו תו Char תו,טקסט הערות שוליים תו תו Char Char תו"/>
    <w:basedOn w:val="a0"/>
    <w:link w:val="a5"/>
    <w:rsid w:val="001359A4"/>
    <w:rPr>
      <w:rFonts w:ascii="Arial" w:eastAsia="Arial Unicode MS" w:hAnsi="Arial" w:cs="David"/>
      <w:snapToGrid w:val="0"/>
      <w:sz w:val="14"/>
      <w:szCs w:val="20"/>
    </w:rPr>
  </w:style>
  <w:style w:type="character" w:styleId="a7">
    <w:name w:val="footnote reference"/>
    <w:aliases w:val="Footnote Reference,Footnote Reference_0,Footnote Reference_0_0,Footnote Reference_1,header 3,f,stylish,טקסט להערות שוליים"/>
    <w:basedOn w:val="a0"/>
    <w:uiPriority w:val="99"/>
    <w:rsid w:val="00914A2F"/>
    <w:rPr>
      <w:vertAlign w:val="superscript"/>
    </w:rPr>
  </w:style>
  <w:style w:type="paragraph" w:customStyle="1" w:styleId="HesberHeading">
    <w:name w:val="Hesber Heading"/>
    <w:basedOn w:val="Hesber"/>
    <w:rsid w:val="00914A2F"/>
    <w:pPr>
      <w:tabs>
        <w:tab w:val="left" w:pos="624"/>
        <w:tab w:val="left" w:pos="1247"/>
      </w:tabs>
    </w:pPr>
    <w:rPr>
      <w:b/>
      <w:bCs/>
    </w:rPr>
  </w:style>
  <w:style w:type="paragraph" w:customStyle="1" w:styleId="HesberWriters">
    <w:name w:val="Hesber Writers"/>
    <w:basedOn w:val="Hesber"/>
    <w:rsid w:val="00914A2F"/>
    <w:pPr>
      <w:spacing w:before="120" w:after="120"/>
      <w:ind w:left="1418"/>
      <w:jc w:val="right"/>
    </w:pPr>
    <w:rPr>
      <w:b/>
      <w:bCs/>
    </w:rPr>
  </w:style>
  <w:style w:type="character" w:styleId="a8">
    <w:name w:val="endnote reference"/>
    <w:basedOn w:val="a0"/>
    <w:semiHidden/>
    <w:rsid w:val="00914A2F"/>
    <w:rPr>
      <w:vertAlign w:val="superscript"/>
    </w:rPr>
  </w:style>
  <w:style w:type="paragraph" w:customStyle="1" w:styleId="TableBlockOutdent">
    <w:name w:val="Table BlockOutdent"/>
    <w:basedOn w:val="TableBlock"/>
    <w:rsid w:val="00914A2F"/>
    <w:pPr>
      <w:ind w:left="624" w:hanging="624"/>
    </w:pPr>
  </w:style>
  <w:style w:type="paragraph" w:styleId="a9">
    <w:name w:val="header"/>
    <w:basedOn w:val="a"/>
    <w:link w:val="aa"/>
    <w:uiPriority w:val="99"/>
    <w:rsid w:val="00914A2F"/>
    <w:pPr>
      <w:tabs>
        <w:tab w:val="center" w:pos="4153"/>
        <w:tab w:val="right" w:pos="8306"/>
      </w:tabs>
    </w:pPr>
  </w:style>
  <w:style w:type="character" w:customStyle="1" w:styleId="aa">
    <w:name w:val="כותרת עליונה תו"/>
    <w:basedOn w:val="a0"/>
    <w:link w:val="a9"/>
    <w:uiPriority w:val="99"/>
    <w:rsid w:val="00914A2F"/>
    <w:rPr>
      <w:rFonts w:ascii="David" w:hAnsi="David" w:cs="David"/>
      <w:sz w:val="24"/>
      <w:szCs w:val="24"/>
    </w:rPr>
  </w:style>
  <w:style w:type="paragraph" w:styleId="ab">
    <w:name w:val="footer"/>
    <w:basedOn w:val="a"/>
    <w:link w:val="ac"/>
    <w:uiPriority w:val="99"/>
    <w:rsid w:val="00914A2F"/>
    <w:pPr>
      <w:tabs>
        <w:tab w:val="center" w:pos="4153"/>
        <w:tab w:val="right" w:pos="8306"/>
      </w:tabs>
    </w:pPr>
  </w:style>
  <w:style w:type="character" w:customStyle="1" w:styleId="ac">
    <w:name w:val="כותרת תחתונה תו"/>
    <w:basedOn w:val="a0"/>
    <w:link w:val="ab"/>
    <w:uiPriority w:val="99"/>
    <w:rsid w:val="00914A2F"/>
    <w:rPr>
      <w:rFonts w:ascii="David" w:hAnsi="David" w:cs="David"/>
      <w:sz w:val="24"/>
      <w:szCs w:val="24"/>
    </w:rPr>
  </w:style>
  <w:style w:type="character" w:styleId="ad">
    <w:name w:val="page number"/>
    <w:basedOn w:val="a0"/>
    <w:rsid w:val="00914A2F"/>
  </w:style>
  <w:style w:type="paragraph" w:customStyle="1" w:styleId="Cover1-Reshumot">
    <w:name w:val="Cover 1-Reshumot"/>
    <w:basedOn w:val="a"/>
    <w:rsid w:val="00914A2F"/>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914A2F"/>
    <w:rPr>
      <w:sz w:val="36"/>
      <w:szCs w:val="52"/>
    </w:rPr>
  </w:style>
  <w:style w:type="paragraph" w:customStyle="1" w:styleId="Cover3-Haknesset">
    <w:name w:val="Cover 3-Haknesset"/>
    <w:basedOn w:val="Cover1-Reshumot"/>
    <w:rsid w:val="00914A2F"/>
    <w:rPr>
      <w:b/>
      <w:bCs/>
      <w:spacing w:val="60"/>
    </w:rPr>
  </w:style>
  <w:style w:type="paragraph" w:customStyle="1" w:styleId="Cover4-Date">
    <w:name w:val="Cover 4-Date"/>
    <w:basedOn w:val="a"/>
    <w:rsid w:val="00914A2F"/>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914A2F"/>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914A2F"/>
    <w:pPr>
      <w:widowControl/>
      <w:spacing w:before="120" w:after="120"/>
      <w:outlineLvl w:val="9"/>
    </w:pPr>
    <w:rPr>
      <w:rtl/>
      <w:cs/>
    </w:rPr>
  </w:style>
  <w:style w:type="paragraph" w:styleId="TOC1">
    <w:name w:val="toc 1"/>
    <w:basedOn w:val="a"/>
    <w:next w:val="a"/>
    <w:autoRedefine/>
    <w:uiPriority w:val="39"/>
    <w:unhideWhenUsed/>
    <w:rsid w:val="00914A2F"/>
    <w:pPr>
      <w:tabs>
        <w:tab w:val="right" w:leader="dot" w:pos="9629"/>
      </w:tabs>
      <w:spacing w:after="100"/>
    </w:pPr>
    <w:rPr>
      <w:bCs/>
      <w:szCs w:val="22"/>
    </w:rPr>
  </w:style>
  <w:style w:type="paragraph" w:styleId="TOC2">
    <w:name w:val="toc 2"/>
    <w:basedOn w:val="a"/>
    <w:next w:val="a"/>
    <w:uiPriority w:val="39"/>
    <w:unhideWhenUsed/>
    <w:rsid w:val="00914A2F"/>
    <w:pPr>
      <w:tabs>
        <w:tab w:val="right" w:leader="dot" w:pos="9628"/>
      </w:tabs>
      <w:spacing w:after="100"/>
    </w:pPr>
    <w:rPr>
      <w:szCs w:val="22"/>
    </w:rPr>
  </w:style>
  <w:style w:type="character" w:styleId="Hyperlink">
    <w:name w:val="Hyperlink"/>
    <w:basedOn w:val="a0"/>
    <w:uiPriority w:val="99"/>
    <w:unhideWhenUsed/>
    <w:rsid w:val="00914A2F"/>
    <w:rPr>
      <w:color w:val="0000FF" w:themeColor="hyperlink"/>
      <w:u w:val="single"/>
    </w:rPr>
  </w:style>
  <w:style w:type="paragraph" w:styleId="TOC3">
    <w:name w:val="toc 3"/>
    <w:basedOn w:val="a"/>
    <w:next w:val="a"/>
    <w:uiPriority w:val="39"/>
    <w:unhideWhenUsed/>
    <w:rsid w:val="00914A2F"/>
    <w:pPr>
      <w:numPr>
        <w:numId w:val="4"/>
      </w:numPr>
      <w:tabs>
        <w:tab w:val="right" w:leader="dot" w:pos="9629"/>
      </w:tabs>
      <w:spacing w:after="100"/>
      <w:ind w:left="811" w:hanging="357"/>
    </w:pPr>
    <w:rPr>
      <w:szCs w:val="22"/>
    </w:rPr>
  </w:style>
  <w:style w:type="paragraph" w:styleId="TOC4">
    <w:name w:val="toc 4"/>
    <w:basedOn w:val="a"/>
    <w:next w:val="a"/>
    <w:autoRedefine/>
    <w:unhideWhenUsed/>
    <w:qFormat/>
    <w:rsid w:val="00914A2F"/>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914A2F"/>
    <w:pPr>
      <w:tabs>
        <w:tab w:val="right" w:leader="dot" w:pos="9628"/>
      </w:tabs>
      <w:spacing w:after="100"/>
      <w:ind w:left="567"/>
    </w:pPr>
    <w:rPr>
      <w:szCs w:val="22"/>
    </w:rPr>
  </w:style>
  <w:style w:type="paragraph" w:styleId="TOC6">
    <w:name w:val="toc 6"/>
    <w:basedOn w:val="a"/>
    <w:next w:val="a"/>
    <w:autoRedefine/>
    <w:semiHidden/>
    <w:unhideWhenUsed/>
    <w:rsid w:val="00914A2F"/>
    <w:pPr>
      <w:spacing w:after="100"/>
      <w:ind w:left="850"/>
    </w:pPr>
  </w:style>
  <w:style w:type="paragraph" w:styleId="TOC7">
    <w:name w:val="toc 7"/>
    <w:basedOn w:val="a"/>
    <w:next w:val="a"/>
    <w:autoRedefine/>
    <w:semiHidden/>
    <w:unhideWhenUsed/>
    <w:rsid w:val="00914A2F"/>
    <w:pPr>
      <w:spacing w:after="100"/>
      <w:ind w:left="1020"/>
    </w:pPr>
  </w:style>
  <w:style w:type="paragraph" w:styleId="TOC8">
    <w:name w:val="toc 8"/>
    <w:basedOn w:val="a"/>
    <w:next w:val="a"/>
    <w:autoRedefine/>
    <w:semiHidden/>
    <w:unhideWhenUsed/>
    <w:rsid w:val="00914A2F"/>
    <w:pPr>
      <w:spacing w:after="100"/>
      <w:ind w:left="1190"/>
    </w:pPr>
  </w:style>
  <w:style w:type="paragraph" w:styleId="TOC9">
    <w:name w:val="toc 9"/>
    <w:basedOn w:val="a"/>
    <w:next w:val="a"/>
    <w:autoRedefine/>
    <w:semiHidden/>
    <w:unhideWhenUsed/>
    <w:rsid w:val="00914A2F"/>
    <w:pPr>
      <w:spacing w:after="100"/>
      <w:ind w:left="1360"/>
    </w:pPr>
  </w:style>
  <w:style w:type="paragraph" w:customStyle="1" w:styleId="TableHead2">
    <w:name w:val="Table Head2"/>
    <w:basedOn w:val="TableHead"/>
    <w:qFormat/>
    <w:rsid w:val="00914A2F"/>
    <w:pPr>
      <w:outlineLvl w:val="9"/>
    </w:pPr>
  </w:style>
  <w:style w:type="paragraph" w:customStyle="1" w:styleId="TableSideHeading2">
    <w:name w:val="Table SideHeading2"/>
    <w:basedOn w:val="TableSideHeading"/>
    <w:autoRedefine/>
    <w:qFormat/>
    <w:rsid w:val="00914A2F"/>
    <w:pPr>
      <w:keepLines w:val="0"/>
      <w:outlineLvl w:val="9"/>
    </w:pPr>
  </w:style>
  <w:style w:type="paragraph" w:customStyle="1" w:styleId="0">
    <w:name w:val="סגנון שורה ראשונה:  0  ס''מ"/>
    <w:basedOn w:val="2"/>
    <w:rsid w:val="00914A2F"/>
    <w:rPr>
      <w:rFonts w:eastAsia="Times New Roman"/>
    </w:rPr>
  </w:style>
  <w:style w:type="paragraph" w:styleId="af">
    <w:name w:val="List Paragraph"/>
    <w:aliases w:val="LP1,LP11,LP111,LP112,LP12,LP121,LP13,LP14,List Paragraph_0,List Paragraph_01,List Paragraph_011,List Paragraph_02,List Paragraph_021,List Paragraph_03,List Paragraph_1,List Paragraph_11,List Paragraph_111,List Paragraph_12,List Paragraph_13"/>
    <w:basedOn w:val="a"/>
    <w:link w:val="af0"/>
    <w:uiPriority w:val="34"/>
    <w:qFormat/>
    <w:rsid w:val="00914A2F"/>
    <w:pPr>
      <w:widowControl/>
      <w:spacing w:line="259" w:lineRule="auto"/>
    </w:pPr>
    <w:rPr>
      <w:rFonts w:asciiTheme="minorHAnsi" w:hAnsiTheme="minorHAnsi"/>
      <w:sz w:val="22"/>
    </w:rPr>
  </w:style>
  <w:style w:type="table" w:styleId="af1">
    <w:name w:val="Table Grid"/>
    <w:basedOn w:val="a1"/>
    <w:uiPriority w:val="39"/>
    <w:rsid w:val="00914A2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914A2F"/>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914A2F"/>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2">
    <w:name w:val="טבלת חקיקה"/>
    <w:basedOn w:val="a1"/>
    <w:uiPriority w:val="99"/>
    <w:rsid w:val="00914A2F"/>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914A2F"/>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af3">
    <w:name w:val="annotation reference"/>
    <w:basedOn w:val="a0"/>
    <w:uiPriority w:val="99"/>
    <w:unhideWhenUsed/>
    <w:qFormat/>
    <w:rsid w:val="00B5652B"/>
    <w:rPr>
      <w:sz w:val="16"/>
      <w:szCs w:val="16"/>
    </w:rPr>
  </w:style>
  <w:style w:type="paragraph" w:styleId="af4">
    <w:name w:val="annotation text"/>
    <w:basedOn w:val="a"/>
    <w:link w:val="af5"/>
    <w:uiPriority w:val="99"/>
    <w:unhideWhenUsed/>
    <w:rsid w:val="00B5652B"/>
    <w:pPr>
      <w:widowControl/>
      <w:spacing w:after="160" w:line="240" w:lineRule="auto"/>
      <w:ind w:left="0"/>
      <w:contextualSpacing w:val="0"/>
      <w:jc w:val="left"/>
    </w:pPr>
    <w:rPr>
      <w:rFonts w:asciiTheme="minorHAnsi" w:eastAsiaTheme="minorEastAsia" w:hAnsiTheme="minorHAnsi" w:cstheme="minorBidi"/>
      <w:sz w:val="20"/>
      <w:szCs w:val="20"/>
    </w:rPr>
  </w:style>
  <w:style w:type="character" w:customStyle="1" w:styleId="af5">
    <w:name w:val="טקסט הערה תו"/>
    <w:basedOn w:val="a0"/>
    <w:link w:val="af4"/>
    <w:uiPriority w:val="99"/>
    <w:rsid w:val="00B5652B"/>
    <w:rPr>
      <w:rFonts w:eastAsiaTheme="minorEastAsia"/>
      <w:sz w:val="20"/>
      <w:szCs w:val="20"/>
    </w:rPr>
  </w:style>
  <w:style w:type="character" w:customStyle="1" w:styleId="af0">
    <w:name w:val="פיסקת רשימה תו"/>
    <w:aliases w:val="LP1 תו,LP11 תו,LP111 תו,LP112 תו,LP12 תו,LP121 תו,LP13 תו,LP14 תו,List Paragraph_0 תו,List Paragraph_01 תו,List Paragraph_011 תו,List Paragraph_02 תו,List Paragraph_021 תו,List Paragraph_03 תו,List Paragraph_1 תו,List Paragraph_11 תו"/>
    <w:basedOn w:val="a0"/>
    <w:link w:val="af"/>
    <w:uiPriority w:val="34"/>
    <w:rsid w:val="00AF2DD5"/>
    <w:rPr>
      <w:rFonts w:cs="David"/>
      <w:szCs w:val="24"/>
    </w:rPr>
  </w:style>
  <w:style w:type="paragraph" w:styleId="af6">
    <w:name w:val="annotation subject"/>
    <w:basedOn w:val="af4"/>
    <w:next w:val="af4"/>
    <w:link w:val="af7"/>
    <w:uiPriority w:val="99"/>
    <w:semiHidden/>
    <w:unhideWhenUsed/>
    <w:rsid w:val="00AC2B05"/>
    <w:pPr>
      <w:widowControl w:val="0"/>
      <w:spacing w:after="0"/>
      <w:ind w:left="340"/>
      <w:contextualSpacing/>
      <w:jc w:val="both"/>
    </w:pPr>
    <w:rPr>
      <w:rFonts w:ascii="David" w:eastAsiaTheme="minorHAnsi" w:hAnsi="David" w:cs="David"/>
      <w:b/>
      <w:bCs/>
    </w:rPr>
  </w:style>
  <w:style w:type="character" w:customStyle="1" w:styleId="af7">
    <w:name w:val="נושא הערה תו"/>
    <w:basedOn w:val="af5"/>
    <w:link w:val="af6"/>
    <w:uiPriority w:val="99"/>
    <w:semiHidden/>
    <w:rsid w:val="00AC2B05"/>
    <w:rPr>
      <w:rFonts w:ascii="David" w:eastAsiaTheme="minorEastAsia" w:hAnsi="David" w:cs="David"/>
      <w:b/>
      <w:bCs/>
      <w:sz w:val="20"/>
      <w:szCs w:val="20"/>
    </w:rPr>
  </w:style>
  <w:style w:type="paragraph" w:styleId="af8">
    <w:name w:val="Revision"/>
    <w:hidden/>
    <w:uiPriority w:val="99"/>
    <w:semiHidden/>
    <w:rsid w:val="007E0852"/>
    <w:pPr>
      <w:spacing w:after="0" w:line="240" w:lineRule="auto"/>
    </w:pPr>
    <w:rPr>
      <w:rFonts w:ascii="David" w:hAnsi="David" w:cs="David"/>
      <w:sz w:val="24"/>
      <w:szCs w:val="24"/>
    </w:rPr>
  </w:style>
  <w:style w:type="paragraph" w:customStyle="1" w:styleId="big-header">
    <w:name w:val="big-header"/>
    <w:basedOn w:val="a"/>
    <w:rsid w:val="003B1044"/>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customStyle="1" w:styleId="ruller4">
    <w:name w:val="ruller4"/>
    <w:basedOn w:val="a"/>
    <w:rsid w:val="008F426D"/>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styleId="af9">
    <w:name w:val="Balloon Text"/>
    <w:basedOn w:val="a"/>
    <w:link w:val="afa"/>
    <w:uiPriority w:val="99"/>
    <w:semiHidden/>
    <w:unhideWhenUsed/>
    <w:rsid w:val="005A71A6"/>
    <w:pPr>
      <w:widowControl/>
      <w:spacing w:line="240" w:lineRule="auto"/>
      <w:ind w:left="0"/>
      <w:contextualSpacing w:val="0"/>
      <w:jc w:val="left"/>
    </w:pPr>
    <w:rPr>
      <w:rFonts w:ascii="Tahoma" w:hAnsi="Tahoma" w:cs="Tahoma"/>
      <w:sz w:val="18"/>
      <w:szCs w:val="18"/>
    </w:rPr>
  </w:style>
  <w:style w:type="character" w:customStyle="1" w:styleId="afa">
    <w:name w:val="טקסט בלונים תו"/>
    <w:basedOn w:val="a0"/>
    <w:link w:val="af9"/>
    <w:uiPriority w:val="99"/>
    <w:semiHidden/>
    <w:rsid w:val="005A71A6"/>
    <w:rPr>
      <w:rFonts w:ascii="Tahoma" w:hAnsi="Tahoma" w:cs="Tahoma"/>
      <w:sz w:val="18"/>
      <w:szCs w:val="18"/>
    </w:rPr>
  </w:style>
  <w:style w:type="paragraph" w:customStyle="1" w:styleId="ruller40">
    <w:name w:val="ruller40"/>
    <w:basedOn w:val="a"/>
    <w:rsid w:val="005A71A6"/>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styleId="afb">
    <w:name w:val="Quote"/>
    <w:basedOn w:val="a"/>
    <w:next w:val="a"/>
    <w:link w:val="afc"/>
    <w:qFormat/>
    <w:rsid w:val="005A71A6"/>
    <w:pPr>
      <w:widowControl/>
      <w:spacing w:before="240"/>
      <w:ind w:left="1440" w:right="1843"/>
      <w:contextualSpacing w:val="0"/>
    </w:pPr>
    <w:rPr>
      <w:rFonts w:eastAsia="Times New Roman"/>
      <w:b/>
      <w:bCs/>
      <w:sz w:val="44"/>
    </w:rPr>
  </w:style>
  <w:style w:type="character" w:customStyle="1" w:styleId="afc">
    <w:name w:val="ציטוט תו"/>
    <w:basedOn w:val="a0"/>
    <w:link w:val="afb"/>
    <w:rsid w:val="005A71A6"/>
    <w:rPr>
      <w:rFonts w:ascii="David" w:eastAsia="Times New Roman" w:hAnsi="David" w:cs="David"/>
      <w:b/>
      <w:bCs/>
      <w:sz w:val="44"/>
      <w:szCs w:val="24"/>
    </w:rPr>
  </w:style>
  <w:style w:type="paragraph" w:customStyle="1" w:styleId="afd">
    <w:name w:val="תו תו תו תו תו תו"/>
    <w:basedOn w:val="a"/>
    <w:rsid w:val="005A71A6"/>
    <w:pPr>
      <w:widowControl/>
      <w:bidi w:val="0"/>
      <w:spacing w:before="60" w:after="160" w:line="240" w:lineRule="exact"/>
      <w:ind w:left="0"/>
      <w:contextualSpacing w:val="0"/>
      <w:jc w:val="left"/>
    </w:pPr>
    <w:rPr>
      <w:rFonts w:ascii="Verdana" w:eastAsia="Times New Roman" w:hAnsi="Verdana" w:cs="Times New Roman"/>
      <w:color w:val="FF00FF"/>
      <w:szCs w:val="20"/>
      <w:lang w:val="en-GB" w:bidi="ar-SA"/>
    </w:rPr>
  </w:style>
  <w:style w:type="paragraph" w:customStyle="1" w:styleId="ruller5">
    <w:name w:val="ruller5"/>
    <w:basedOn w:val="a"/>
    <w:rsid w:val="005A71A6"/>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character" w:styleId="FollowedHyperlink">
    <w:name w:val="FollowedHyperlink"/>
    <w:basedOn w:val="a0"/>
    <w:uiPriority w:val="99"/>
    <w:semiHidden/>
    <w:unhideWhenUsed/>
    <w:rsid w:val="005A71A6"/>
    <w:rPr>
      <w:color w:val="800080" w:themeColor="followedHyperlink"/>
      <w:u w:val="single"/>
    </w:rPr>
  </w:style>
  <w:style w:type="paragraph" w:styleId="afe">
    <w:name w:val="Plain Text"/>
    <w:basedOn w:val="a"/>
    <w:link w:val="aff"/>
    <w:uiPriority w:val="99"/>
    <w:semiHidden/>
    <w:unhideWhenUsed/>
    <w:rsid w:val="005A71A6"/>
    <w:pPr>
      <w:widowControl/>
      <w:spacing w:line="240" w:lineRule="auto"/>
      <w:ind w:left="0"/>
      <w:contextualSpacing w:val="0"/>
      <w:jc w:val="left"/>
    </w:pPr>
    <w:rPr>
      <w:rFonts w:ascii="Calibri" w:hAnsi="Calibri" w:cstheme="minorBidi"/>
      <w:sz w:val="20"/>
      <w:szCs w:val="21"/>
    </w:rPr>
  </w:style>
  <w:style w:type="character" w:customStyle="1" w:styleId="aff">
    <w:name w:val="טקסט רגיל תו"/>
    <w:basedOn w:val="a0"/>
    <w:link w:val="afe"/>
    <w:uiPriority w:val="99"/>
    <w:semiHidden/>
    <w:rsid w:val="005A71A6"/>
    <w:rPr>
      <w:rFonts w:ascii="Calibri" w:hAnsi="Calibri"/>
      <w:sz w:val="20"/>
      <w:szCs w:val="21"/>
    </w:rPr>
  </w:style>
  <w:style w:type="paragraph" w:customStyle="1" w:styleId="a10">
    <w:name w:val="a1"/>
    <w:basedOn w:val="a"/>
    <w:rsid w:val="005A71A6"/>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customStyle="1" w:styleId="aff0">
    <w:name w:val="פנקס"/>
    <w:basedOn w:val="a5"/>
    <w:autoRedefine/>
    <w:qFormat/>
    <w:rsid w:val="005A71A6"/>
    <w:pPr>
      <w:widowControl/>
      <w:snapToGrid/>
      <w:contextualSpacing w:val="0"/>
      <w:jc w:val="both"/>
    </w:pPr>
    <w:rPr>
      <w:rFonts w:ascii="Narkisim" w:eastAsiaTheme="minorHAnsi" w:hAnsi="Narkisim" w:cs="Narkisim"/>
      <w:snapToGrid/>
      <w:sz w:val="24"/>
      <w:szCs w:val="24"/>
      <w:vertAlign w:val="superscript"/>
    </w:rPr>
  </w:style>
  <w:style w:type="character" w:customStyle="1" w:styleId="term1">
    <w:name w:val="term_1"/>
    <w:basedOn w:val="a0"/>
    <w:rsid w:val="005A71A6"/>
  </w:style>
  <w:style w:type="paragraph" w:styleId="NormalWeb">
    <w:name w:val="Normal (Web)"/>
    <w:basedOn w:val="a"/>
    <w:uiPriority w:val="99"/>
    <w:semiHidden/>
    <w:unhideWhenUsed/>
    <w:rsid w:val="005A71A6"/>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paragraph" w:styleId="aff1">
    <w:name w:val="No Spacing"/>
    <w:link w:val="aff2"/>
    <w:uiPriority w:val="1"/>
    <w:qFormat/>
    <w:rsid w:val="005A71A6"/>
    <w:pPr>
      <w:bidi/>
      <w:spacing w:after="0" w:line="240" w:lineRule="auto"/>
    </w:pPr>
    <w:rPr>
      <w:rFonts w:eastAsiaTheme="minorEastAsia"/>
    </w:rPr>
  </w:style>
  <w:style w:type="character" w:customStyle="1" w:styleId="aff2">
    <w:name w:val="ללא מרווח תו"/>
    <w:basedOn w:val="a0"/>
    <w:link w:val="aff1"/>
    <w:uiPriority w:val="1"/>
    <w:rsid w:val="005A71A6"/>
    <w:rPr>
      <w:rFonts w:eastAsiaTheme="minorEastAsia"/>
    </w:rPr>
  </w:style>
  <w:style w:type="paragraph" w:customStyle="1" w:styleId="p00">
    <w:name w:val="p00"/>
    <w:basedOn w:val="a"/>
    <w:rsid w:val="00743602"/>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character" w:customStyle="1" w:styleId="default">
    <w:name w:val="default"/>
    <w:basedOn w:val="a0"/>
    <w:rsid w:val="00743602"/>
  </w:style>
  <w:style w:type="character" w:customStyle="1" w:styleId="big-number">
    <w:name w:val="big-number"/>
    <w:basedOn w:val="a0"/>
    <w:rsid w:val="00FD4D46"/>
  </w:style>
  <w:style w:type="paragraph" w:customStyle="1" w:styleId="21">
    <w:name w:val="תו תו2 תו תו תו תו"/>
    <w:basedOn w:val="a"/>
    <w:next w:val="a"/>
    <w:autoRedefine/>
    <w:rsid w:val="005F477E"/>
    <w:pPr>
      <w:widowControl/>
      <w:spacing w:after="160"/>
      <w:ind w:left="0"/>
      <w:contextualSpacing w:val="0"/>
    </w:pPr>
    <w:rPr>
      <w:rFonts w:ascii="Tahoma" w:eastAsia="Times New Roman" w:hAnsi="Tahoma" w:cs="Arial"/>
      <w:noProof/>
      <w:sz w:val="22"/>
      <w:lang w:eastAsia="he-IL" w:bidi="ar-SA"/>
    </w:rPr>
  </w:style>
  <w:style w:type="character" w:customStyle="1" w:styleId="term2">
    <w:name w:val="term_2"/>
    <w:basedOn w:val="a0"/>
    <w:rsid w:val="00650CC8"/>
  </w:style>
  <w:style w:type="paragraph" w:customStyle="1" w:styleId="Ruller41">
    <w:name w:val="Ruller4"/>
    <w:basedOn w:val="a"/>
    <w:link w:val="Ruller42"/>
    <w:rsid w:val="009506A4"/>
    <w:pPr>
      <w:widowControl/>
      <w:tabs>
        <w:tab w:val="left" w:pos="800"/>
      </w:tabs>
      <w:overflowPunct w:val="0"/>
      <w:autoSpaceDE w:val="0"/>
      <w:autoSpaceDN w:val="0"/>
      <w:adjustRightInd w:val="0"/>
      <w:ind w:left="0"/>
      <w:contextualSpacing w:val="0"/>
    </w:pPr>
    <w:rPr>
      <w:rFonts w:ascii="Arial TUR" w:eastAsia="Times New Roman" w:hAnsi="Arial TUR" w:cs="FrankRuehl"/>
      <w:spacing w:val="10"/>
      <w:sz w:val="22"/>
      <w:szCs w:val="28"/>
    </w:rPr>
  </w:style>
  <w:style w:type="character" w:customStyle="1" w:styleId="Ruller42">
    <w:name w:val="Ruller4 תו"/>
    <w:link w:val="Ruller41"/>
    <w:locked/>
    <w:rsid w:val="009506A4"/>
    <w:rPr>
      <w:rFonts w:ascii="Arial TUR" w:eastAsia="Times New Roman" w:hAnsi="Arial TUR"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303">
      <w:bodyDiv w:val="1"/>
      <w:marLeft w:val="0"/>
      <w:marRight w:val="0"/>
      <w:marTop w:val="0"/>
      <w:marBottom w:val="0"/>
      <w:divBdr>
        <w:top w:val="none" w:sz="0" w:space="0" w:color="auto"/>
        <w:left w:val="none" w:sz="0" w:space="0" w:color="auto"/>
        <w:bottom w:val="none" w:sz="0" w:space="0" w:color="auto"/>
        <w:right w:val="none" w:sz="0" w:space="0" w:color="auto"/>
      </w:divBdr>
    </w:div>
    <w:div w:id="129371953">
      <w:bodyDiv w:val="1"/>
      <w:marLeft w:val="0"/>
      <w:marRight w:val="0"/>
      <w:marTop w:val="0"/>
      <w:marBottom w:val="0"/>
      <w:divBdr>
        <w:top w:val="none" w:sz="0" w:space="0" w:color="auto"/>
        <w:left w:val="none" w:sz="0" w:space="0" w:color="auto"/>
        <w:bottom w:val="none" w:sz="0" w:space="0" w:color="auto"/>
        <w:right w:val="none" w:sz="0" w:space="0" w:color="auto"/>
      </w:divBdr>
    </w:div>
    <w:div w:id="170726502">
      <w:bodyDiv w:val="1"/>
      <w:marLeft w:val="0"/>
      <w:marRight w:val="0"/>
      <w:marTop w:val="0"/>
      <w:marBottom w:val="0"/>
      <w:divBdr>
        <w:top w:val="none" w:sz="0" w:space="0" w:color="auto"/>
        <w:left w:val="none" w:sz="0" w:space="0" w:color="auto"/>
        <w:bottom w:val="none" w:sz="0" w:space="0" w:color="auto"/>
        <w:right w:val="none" w:sz="0" w:space="0" w:color="auto"/>
      </w:divBdr>
    </w:div>
    <w:div w:id="171065731">
      <w:bodyDiv w:val="1"/>
      <w:marLeft w:val="0"/>
      <w:marRight w:val="0"/>
      <w:marTop w:val="0"/>
      <w:marBottom w:val="0"/>
      <w:divBdr>
        <w:top w:val="none" w:sz="0" w:space="0" w:color="auto"/>
        <w:left w:val="none" w:sz="0" w:space="0" w:color="auto"/>
        <w:bottom w:val="none" w:sz="0" w:space="0" w:color="auto"/>
        <w:right w:val="none" w:sz="0" w:space="0" w:color="auto"/>
      </w:divBdr>
    </w:div>
    <w:div w:id="259918336">
      <w:bodyDiv w:val="1"/>
      <w:marLeft w:val="0"/>
      <w:marRight w:val="0"/>
      <w:marTop w:val="0"/>
      <w:marBottom w:val="0"/>
      <w:divBdr>
        <w:top w:val="none" w:sz="0" w:space="0" w:color="auto"/>
        <w:left w:val="none" w:sz="0" w:space="0" w:color="auto"/>
        <w:bottom w:val="none" w:sz="0" w:space="0" w:color="auto"/>
        <w:right w:val="none" w:sz="0" w:space="0" w:color="auto"/>
      </w:divBdr>
    </w:div>
    <w:div w:id="457260528">
      <w:bodyDiv w:val="1"/>
      <w:marLeft w:val="0"/>
      <w:marRight w:val="0"/>
      <w:marTop w:val="0"/>
      <w:marBottom w:val="0"/>
      <w:divBdr>
        <w:top w:val="none" w:sz="0" w:space="0" w:color="auto"/>
        <w:left w:val="none" w:sz="0" w:space="0" w:color="auto"/>
        <w:bottom w:val="none" w:sz="0" w:space="0" w:color="auto"/>
        <w:right w:val="none" w:sz="0" w:space="0" w:color="auto"/>
      </w:divBdr>
    </w:div>
    <w:div w:id="724715676">
      <w:bodyDiv w:val="1"/>
      <w:marLeft w:val="0"/>
      <w:marRight w:val="0"/>
      <w:marTop w:val="0"/>
      <w:marBottom w:val="0"/>
      <w:divBdr>
        <w:top w:val="none" w:sz="0" w:space="0" w:color="auto"/>
        <w:left w:val="none" w:sz="0" w:space="0" w:color="auto"/>
        <w:bottom w:val="none" w:sz="0" w:space="0" w:color="auto"/>
        <w:right w:val="none" w:sz="0" w:space="0" w:color="auto"/>
      </w:divBdr>
    </w:div>
    <w:div w:id="801113047">
      <w:bodyDiv w:val="1"/>
      <w:marLeft w:val="0"/>
      <w:marRight w:val="0"/>
      <w:marTop w:val="0"/>
      <w:marBottom w:val="0"/>
      <w:divBdr>
        <w:top w:val="none" w:sz="0" w:space="0" w:color="auto"/>
        <w:left w:val="none" w:sz="0" w:space="0" w:color="auto"/>
        <w:bottom w:val="none" w:sz="0" w:space="0" w:color="auto"/>
        <w:right w:val="none" w:sz="0" w:space="0" w:color="auto"/>
      </w:divBdr>
    </w:div>
    <w:div w:id="881861502">
      <w:bodyDiv w:val="1"/>
      <w:marLeft w:val="0"/>
      <w:marRight w:val="0"/>
      <w:marTop w:val="0"/>
      <w:marBottom w:val="0"/>
      <w:divBdr>
        <w:top w:val="none" w:sz="0" w:space="0" w:color="auto"/>
        <w:left w:val="none" w:sz="0" w:space="0" w:color="auto"/>
        <w:bottom w:val="none" w:sz="0" w:space="0" w:color="auto"/>
        <w:right w:val="none" w:sz="0" w:space="0" w:color="auto"/>
      </w:divBdr>
    </w:div>
    <w:div w:id="982851003">
      <w:bodyDiv w:val="1"/>
      <w:marLeft w:val="0"/>
      <w:marRight w:val="0"/>
      <w:marTop w:val="0"/>
      <w:marBottom w:val="0"/>
      <w:divBdr>
        <w:top w:val="none" w:sz="0" w:space="0" w:color="auto"/>
        <w:left w:val="none" w:sz="0" w:space="0" w:color="auto"/>
        <w:bottom w:val="none" w:sz="0" w:space="0" w:color="auto"/>
        <w:right w:val="none" w:sz="0" w:space="0" w:color="auto"/>
      </w:divBdr>
    </w:div>
    <w:div w:id="1167086909">
      <w:bodyDiv w:val="1"/>
      <w:marLeft w:val="0"/>
      <w:marRight w:val="0"/>
      <w:marTop w:val="0"/>
      <w:marBottom w:val="0"/>
      <w:divBdr>
        <w:top w:val="none" w:sz="0" w:space="0" w:color="auto"/>
        <w:left w:val="none" w:sz="0" w:space="0" w:color="auto"/>
        <w:bottom w:val="none" w:sz="0" w:space="0" w:color="auto"/>
        <w:right w:val="none" w:sz="0" w:space="0" w:color="auto"/>
      </w:divBdr>
    </w:div>
    <w:div w:id="1295596865">
      <w:bodyDiv w:val="1"/>
      <w:marLeft w:val="0"/>
      <w:marRight w:val="0"/>
      <w:marTop w:val="0"/>
      <w:marBottom w:val="0"/>
      <w:divBdr>
        <w:top w:val="none" w:sz="0" w:space="0" w:color="auto"/>
        <w:left w:val="none" w:sz="0" w:space="0" w:color="auto"/>
        <w:bottom w:val="none" w:sz="0" w:space="0" w:color="auto"/>
        <w:right w:val="none" w:sz="0" w:space="0" w:color="auto"/>
      </w:divBdr>
    </w:div>
    <w:div w:id="1405029712">
      <w:bodyDiv w:val="1"/>
      <w:marLeft w:val="0"/>
      <w:marRight w:val="0"/>
      <w:marTop w:val="0"/>
      <w:marBottom w:val="0"/>
      <w:divBdr>
        <w:top w:val="none" w:sz="0" w:space="0" w:color="auto"/>
        <w:left w:val="none" w:sz="0" w:space="0" w:color="auto"/>
        <w:bottom w:val="none" w:sz="0" w:space="0" w:color="auto"/>
        <w:right w:val="none" w:sz="0" w:space="0" w:color="auto"/>
      </w:divBdr>
    </w:div>
    <w:div w:id="1573733500">
      <w:bodyDiv w:val="1"/>
      <w:marLeft w:val="0"/>
      <w:marRight w:val="0"/>
      <w:marTop w:val="0"/>
      <w:marBottom w:val="0"/>
      <w:divBdr>
        <w:top w:val="none" w:sz="0" w:space="0" w:color="auto"/>
        <w:left w:val="none" w:sz="0" w:space="0" w:color="auto"/>
        <w:bottom w:val="none" w:sz="0" w:space="0" w:color="auto"/>
        <w:right w:val="none" w:sz="0" w:space="0" w:color="auto"/>
      </w:divBdr>
    </w:div>
    <w:div w:id="1587807475">
      <w:bodyDiv w:val="1"/>
      <w:marLeft w:val="0"/>
      <w:marRight w:val="0"/>
      <w:marTop w:val="0"/>
      <w:marBottom w:val="0"/>
      <w:divBdr>
        <w:top w:val="none" w:sz="0" w:space="0" w:color="auto"/>
        <w:left w:val="none" w:sz="0" w:space="0" w:color="auto"/>
        <w:bottom w:val="none" w:sz="0" w:space="0" w:color="auto"/>
        <w:right w:val="none" w:sz="0" w:space="0" w:color="auto"/>
      </w:divBdr>
      <w:divsChild>
        <w:div w:id="1577400014">
          <w:marLeft w:val="0"/>
          <w:marRight w:val="0"/>
          <w:marTop w:val="0"/>
          <w:marBottom w:val="0"/>
          <w:divBdr>
            <w:top w:val="none" w:sz="0" w:space="0" w:color="auto"/>
            <w:left w:val="none" w:sz="0" w:space="0" w:color="auto"/>
            <w:bottom w:val="none" w:sz="0" w:space="0" w:color="auto"/>
            <w:right w:val="none" w:sz="0" w:space="0" w:color="auto"/>
          </w:divBdr>
        </w:div>
        <w:div w:id="435246672">
          <w:marLeft w:val="0"/>
          <w:marRight w:val="0"/>
          <w:marTop w:val="0"/>
          <w:marBottom w:val="0"/>
          <w:divBdr>
            <w:top w:val="none" w:sz="0" w:space="0" w:color="auto"/>
            <w:left w:val="none" w:sz="0" w:space="0" w:color="auto"/>
            <w:bottom w:val="none" w:sz="0" w:space="0" w:color="auto"/>
            <w:right w:val="none" w:sz="0" w:space="0" w:color="auto"/>
          </w:divBdr>
        </w:div>
      </w:divsChild>
    </w:div>
    <w:div w:id="1651405145">
      <w:bodyDiv w:val="1"/>
      <w:marLeft w:val="0"/>
      <w:marRight w:val="0"/>
      <w:marTop w:val="0"/>
      <w:marBottom w:val="0"/>
      <w:divBdr>
        <w:top w:val="none" w:sz="0" w:space="0" w:color="auto"/>
        <w:left w:val="none" w:sz="0" w:space="0" w:color="auto"/>
        <w:bottom w:val="none" w:sz="0" w:space="0" w:color="auto"/>
        <w:right w:val="none" w:sz="0" w:space="0" w:color="auto"/>
      </w:divBdr>
    </w:div>
    <w:div w:id="1823934890">
      <w:bodyDiv w:val="1"/>
      <w:marLeft w:val="0"/>
      <w:marRight w:val="0"/>
      <w:marTop w:val="0"/>
      <w:marBottom w:val="0"/>
      <w:divBdr>
        <w:top w:val="none" w:sz="0" w:space="0" w:color="auto"/>
        <w:left w:val="none" w:sz="0" w:space="0" w:color="auto"/>
        <w:bottom w:val="none" w:sz="0" w:space="0" w:color="auto"/>
        <w:right w:val="none" w:sz="0" w:space="0" w:color="auto"/>
      </w:divBdr>
    </w:div>
    <w:div w:id="1830829525">
      <w:bodyDiv w:val="1"/>
      <w:marLeft w:val="0"/>
      <w:marRight w:val="0"/>
      <w:marTop w:val="0"/>
      <w:marBottom w:val="0"/>
      <w:divBdr>
        <w:top w:val="none" w:sz="0" w:space="0" w:color="auto"/>
        <w:left w:val="none" w:sz="0" w:space="0" w:color="auto"/>
        <w:bottom w:val="none" w:sz="0" w:space="0" w:color="auto"/>
        <w:right w:val="none" w:sz="0" w:space="0" w:color="auto"/>
      </w:divBdr>
    </w:div>
    <w:div w:id="1914391267">
      <w:bodyDiv w:val="1"/>
      <w:marLeft w:val="0"/>
      <w:marRight w:val="0"/>
      <w:marTop w:val="0"/>
      <w:marBottom w:val="0"/>
      <w:divBdr>
        <w:top w:val="none" w:sz="0" w:space="0" w:color="auto"/>
        <w:left w:val="none" w:sz="0" w:space="0" w:color="auto"/>
        <w:bottom w:val="none" w:sz="0" w:space="0" w:color="auto"/>
        <w:right w:val="none" w:sz="0" w:space="0" w:color="auto"/>
      </w:divBdr>
    </w:div>
    <w:div w:id="1942951768">
      <w:bodyDiv w:val="1"/>
      <w:marLeft w:val="0"/>
      <w:marRight w:val="0"/>
      <w:marTop w:val="0"/>
      <w:marBottom w:val="0"/>
      <w:divBdr>
        <w:top w:val="none" w:sz="0" w:space="0" w:color="auto"/>
        <w:left w:val="none" w:sz="0" w:space="0" w:color="auto"/>
        <w:bottom w:val="none" w:sz="0" w:space="0" w:color="auto"/>
        <w:right w:val="none" w:sz="0" w:space="0" w:color="auto"/>
      </w:divBdr>
    </w:div>
    <w:div w:id="1951273941">
      <w:bodyDiv w:val="1"/>
      <w:marLeft w:val="0"/>
      <w:marRight w:val="0"/>
      <w:marTop w:val="0"/>
      <w:marBottom w:val="0"/>
      <w:divBdr>
        <w:top w:val="none" w:sz="0" w:space="0" w:color="auto"/>
        <w:left w:val="none" w:sz="0" w:space="0" w:color="auto"/>
        <w:bottom w:val="none" w:sz="0" w:space="0" w:color="auto"/>
        <w:right w:val="none" w:sz="0" w:space="0" w:color="auto"/>
      </w:divBdr>
    </w:div>
    <w:div w:id="19933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18169</Words>
  <Characters>90845</Characters>
  <Application>Microsoft Office Word</Application>
  <DocSecurity>0</DocSecurity>
  <Lines>757</Lines>
  <Paragraphs>217</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108797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Sasson</dc:creator>
  <cp:keywords/>
  <dc:description/>
  <cp:lastModifiedBy>Liran Heshin-Brosh</cp:lastModifiedBy>
  <cp:revision>3</cp:revision>
  <cp:lastPrinted>2024-04-16T14:33:00Z</cp:lastPrinted>
  <dcterms:created xsi:type="dcterms:W3CDTF">2024-04-21T09:59:00Z</dcterms:created>
  <dcterms:modified xsi:type="dcterms:W3CDTF">2024-04-21T10:01:00Z</dcterms:modified>
</cp:coreProperties>
</file>